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РФ от 31.10.2022 N 3268-р</w:t>
              <w:br/>
              <w:t xml:space="preserve">(ред. от 21.10.2024)</w:t>
              <w:br/>
              <w:t xml:space="preserve">&lt;Об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31 октября 2022 г. N 3268-р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20.09.2023 </w:t>
            </w:r>
            <w:hyperlink w:history="0" r:id="rId7" w:tooltip="Постановление Правительства РФ от 20.09.2023 N 1529 &quot;О внесении изменений в некоторые акты Правительства Российской Федерации&quot; {КонсультантПлюс}">
              <w:r>
                <w:rPr>
                  <w:sz w:val="20"/>
                  <w:color w:val="0000ff"/>
                </w:rPr>
                <w:t xml:space="preserve">N 1529</w:t>
              </w:r>
            </w:hyperlink>
            <w:r>
              <w:rPr>
                <w:sz w:val="20"/>
                <w:color w:val="392c69"/>
              </w:rPr>
              <w:t xml:space="preserve">,</w:t>
            </w:r>
          </w:p>
          <w:p>
            <w:pPr>
              <w:pStyle w:val="0"/>
              <w:jc w:val="center"/>
            </w:pPr>
            <w:r>
              <w:rPr>
                <w:sz w:val="20"/>
                <w:color w:val="392c69"/>
              </w:rPr>
              <w:t xml:space="preserve">от 29.11.2023 </w:t>
            </w:r>
            <w:hyperlink w:history="0" r:id="rId8" w:tooltip="Постановление Правительства РФ от 29.11.2023 N 2023 (ред. от 17.05.2024) &quot;О внесении изменений в некоторые акты Правительства Российской Федерации по вопросам жилищного (ипотечного) кредитования граждан Российской Федерации&quot; {КонсультантПлюс}">
              <w:r>
                <w:rPr>
                  <w:sz w:val="20"/>
                  <w:color w:val="0000ff"/>
                </w:rPr>
                <w:t xml:space="preserve">N 2023</w:t>
              </w:r>
            </w:hyperlink>
            <w:r>
              <w:rPr>
                <w:sz w:val="20"/>
                <w:color w:val="392c69"/>
              </w:rPr>
              <w:t xml:space="preserve">,</w:t>
            </w:r>
          </w:p>
          <w:p>
            <w:pPr>
              <w:pStyle w:val="0"/>
              <w:jc w:val="center"/>
            </w:pPr>
            <w:hyperlink w:history="0" r:id="rId9"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sz w:val="20"/>
                  <w:color w:val="0000ff"/>
                </w:rPr>
                <w:t xml:space="preserve">распоряжения</w:t>
              </w:r>
            </w:hyperlink>
            <w:r>
              <w:rPr>
                <w:sz w:val="20"/>
                <w:color w:val="392c69"/>
              </w:rPr>
              <w:t xml:space="preserve"> Правительства РФ от 21.10.2024 N 2963-р)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Утвердить прилагаемую </w:t>
      </w:r>
      <w:hyperlink w:history="0" w:anchor="P27" w:tooltip="СТРАТЕГИЯ">
        <w:r>
          <w:rPr>
            <w:sz w:val="20"/>
            <w:color w:val="0000ff"/>
          </w:rPr>
          <w:t xml:space="preserve">Стратегию</w:t>
        </w:r>
      </w:hyperlink>
      <w:r>
        <w:rPr>
          <w:sz w:val="20"/>
        </w:rPr>
        <w:t xml:space="preserve"> развития строительной отрасли и жилищно-коммунального хозяйства Российской Федерации на период до 2030 года с прогнозом до 2035 года (далее - Стратегия).</w:t>
      </w:r>
    </w:p>
    <w:p>
      <w:pPr>
        <w:pStyle w:val="0"/>
        <w:spacing w:before="200" w:line-rule="auto"/>
        <w:ind w:firstLine="540"/>
        <w:jc w:val="both"/>
      </w:pPr>
      <w:r>
        <w:rPr>
          <w:sz w:val="20"/>
        </w:rPr>
        <w:t xml:space="preserve">2. Федеральным органам исполнительной власти руководствоваться положениями </w:t>
      </w:r>
      <w:hyperlink w:history="0" w:anchor="P27" w:tooltip="СТРАТЕГИЯ">
        <w:r>
          <w:rPr>
            <w:sz w:val="20"/>
            <w:color w:val="0000ff"/>
          </w:rPr>
          <w:t xml:space="preserve">Стратегии</w:t>
        </w:r>
      </w:hyperlink>
      <w:r>
        <w:rPr>
          <w:sz w:val="20"/>
        </w:rPr>
        <w:t xml:space="preserve"> при разработке и реализации государственных программ Российской Федерации и иных документов.</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руководствоваться положениями </w:t>
      </w:r>
      <w:hyperlink w:history="0" w:anchor="P27" w:tooltip="СТРАТЕГИЯ">
        <w:r>
          <w:rPr>
            <w:sz w:val="20"/>
            <w:color w:val="0000ff"/>
          </w:rPr>
          <w:t xml:space="preserve">Стратегии</w:t>
        </w:r>
      </w:hyperlink>
      <w:r>
        <w:rPr>
          <w:sz w:val="20"/>
        </w:rPr>
        <w:t xml:space="preserve"> при разработке и реализации государственных программ субъектов Российской Федерации и иных документов.</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распоряжением Правительства</w:t>
      </w:r>
    </w:p>
    <w:p>
      <w:pPr>
        <w:pStyle w:val="0"/>
        <w:jc w:val="right"/>
      </w:pPr>
      <w:r>
        <w:rPr>
          <w:sz w:val="20"/>
        </w:rPr>
        <w:t xml:space="preserve">Российской Федерации</w:t>
      </w:r>
    </w:p>
    <w:p>
      <w:pPr>
        <w:pStyle w:val="0"/>
        <w:jc w:val="right"/>
      </w:pPr>
      <w:r>
        <w:rPr>
          <w:sz w:val="20"/>
        </w:rPr>
        <w:t xml:space="preserve">от 31 октября 2022 г. N 3268-р</w:t>
      </w:r>
    </w:p>
    <w:p>
      <w:pPr>
        <w:pStyle w:val="0"/>
        <w:jc w:val="both"/>
      </w:pPr>
      <w:r>
        <w:rPr>
          <w:sz w:val="20"/>
        </w:rPr>
      </w:r>
    </w:p>
    <w:bookmarkStart w:id="27" w:name="P27"/>
    <w:bookmarkEnd w:id="27"/>
    <w:p>
      <w:pPr>
        <w:pStyle w:val="2"/>
        <w:jc w:val="center"/>
      </w:pPr>
      <w:r>
        <w:rPr>
          <w:sz w:val="20"/>
        </w:rPr>
        <w:t xml:space="preserve">СТРАТЕГИЯ</w:t>
      </w:r>
    </w:p>
    <w:p>
      <w:pPr>
        <w:pStyle w:val="2"/>
        <w:jc w:val="center"/>
      </w:pPr>
      <w:r>
        <w:rPr>
          <w:sz w:val="20"/>
        </w:rPr>
        <w:t xml:space="preserve">РАЗВИТИЯ СТРОИТЕЛЬНОЙ ОТРАСЛИ И ЖИЛИЩНО-КОММУНАЛЬНОГО</w:t>
      </w:r>
    </w:p>
    <w:p>
      <w:pPr>
        <w:pStyle w:val="2"/>
        <w:jc w:val="center"/>
      </w:pPr>
      <w:r>
        <w:rPr>
          <w:sz w:val="20"/>
        </w:rPr>
        <w:t xml:space="preserve">ХОЗЯЙСТВА РОССИЙСКОЙ ФЕДЕРАЦИИ НА ПЕРИОД ДО 2030 ГОДА</w:t>
      </w:r>
    </w:p>
    <w:p>
      <w:pPr>
        <w:pStyle w:val="2"/>
        <w:jc w:val="center"/>
      </w:pPr>
      <w:r>
        <w:rPr>
          <w:sz w:val="20"/>
        </w:rPr>
        <w:t xml:space="preserve">С ПРОГНОЗОМ ДО 2035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20.09.2023 </w:t>
            </w:r>
            <w:hyperlink w:history="0" r:id="rId10" w:tooltip="Постановление Правительства РФ от 20.09.2023 N 1529 &quot;О внесении изменений в некоторые акты Правительства Российской Федерации&quot; {КонсультантПлюс}">
              <w:r>
                <w:rPr>
                  <w:sz w:val="20"/>
                  <w:color w:val="0000ff"/>
                </w:rPr>
                <w:t xml:space="preserve">N 1529</w:t>
              </w:r>
            </w:hyperlink>
            <w:r>
              <w:rPr>
                <w:sz w:val="20"/>
                <w:color w:val="392c69"/>
              </w:rPr>
              <w:t xml:space="preserve">,</w:t>
            </w:r>
          </w:p>
          <w:p>
            <w:pPr>
              <w:pStyle w:val="0"/>
              <w:jc w:val="center"/>
            </w:pPr>
            <w:r>
              <w:rPr>
                <w:sz w:val="20"/>
                <w:color w:val="392c69"/>
              </w:rPr>
              <w:t xml:space="preserve">от 29.11.2023 </w:t>
            </w:r>
            <w:hyperlink w:history="0" r:id="rId11" w:tooltip="Постановление Правительства РФ от 29.11.2023 N 2023 (ред. от 17.05.2024) &quot;О внесении изменений в некоторые акты Правительства Российской Федерации по вопросам жилищного (ипотечного) кредитования граждан Российской Федерации&quot; {КонсультантПлюс}">
              <w:r>
                <w:rPr>
                  <w:sz w:val="20"/>
                  <w:color w:val="0000ff"/>
                </w:rPr>
                <w:t xml:space="preserve">N 2023</w:t>
              </w:r>
            </w:hyperlink>
            <w:r>
              <w:rPr>
                <w:sz w:val="20"/>
                <w:color w:val="392c69"/>
              </w:rPr>
              <w:t xml:space="preserve">,</w:t>
            </w:r>
          </w:p>
          <w:p>
            <w:pPr>
              <w:pStyle w:val="0"/>
              <w:jc w:val="center"/>
            </w:pPr>
            <w:hyperlink w:history="0" r:id="rId12"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sz w:val="20"/>
                  <w:color w:val="0000ff"/>
                </w:rPr>
                <w:t xml:space="preserve">распоряжения</w:t>
              </w:r>
            </w:hyperlink>
            <w:r>
              <w:rPr>
                <w:sz w:val="20"/>
                <w:color w:val="392c69"/>
              </w:rPr>
              <w:t xml:space="preserve"> Правительства РФ от 21.10.2024 N 2963-р)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1. Введение</w:t>
      </w:r>
    </w:p>
    <w:p>
      <w:pPr>
        <w:pStyle w:val="0"/>
        <w:jc w:val="both"/>
      </w:pPr>
      <w:r>
        <w:rPr>
          <w:sz w:val="20"/>
        </w:rPr>
      </w:r>
    </w:p>
    <w:p>
      <w:pPr>
        <w:pStyle w:val="0"/>
        <w:ind w:firstLine="540"/>
        <w:jc w:val="both"/>
      </w:pPr>
      <w:r>
        <w:rPr>
          <w:sz w:val="20"/>
        </w:rPr>
        <w:t xml:space="preserve">Стратегия развития строительной отрасли и жилищно-коммунального хозяйства Российской Федерации на период до 2030 года с прогнозом до 2035 года (далее - Стратегия) разработана в соответствии со </w:t>
      </w:r>
      <w:hyperlink w:history="0" r:id="rId13"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статьей 19</w:t>
        </w:r>
      </w:hyperlink>
      <w:r>
        <w:rPr>
          <w:sz w:val="20"/>
        </w:rPr>
        <w:t xml:space="preserve"> Федерального закона "О стратегическом планировании в Российской Федерации".</w:t>
      </w:r>
    </w:p>
    <w:p>
      <w:pPr>
        <w:pStyle w:val="0"/>
        <w:spacing w:before="200" w:line-rule="auto"/>
        <w:ind w:firstLine="540"/>
        <w:jc w:val="both"/>
      </w:pPr>
      <w:r>
        <w:rPr>
          <w:sz w:val="20"/>
        </w:rPr>
        <w:t xml:space="preserve">Стратегия разработана с учетом:</w:t>
      </w:r>
    </w:p>
    <w:p>
      <w:pPr>
        <w:pStyle w:val="0"/>
        <w:spacing w:before="200" w:line-rule="auto"/>
        <w:ind w:firstLine="540"/>
        <w:jc w:val="both"/>
      </w:pPr>
      <w:hyperlink w:history="0" r:id="rId14" w:tooltip="Указ Президента РФ от 28.02.2024 N 145 &quot;О Стратегии научно-технологического развития Российской Федерации&quot; {КонсультантПлюс}">
        <w:r>
          <w:rPr>
            <w:sz w:val="20"/>
            <w:color w:val="0000ff"/>
          </w:rPr>
          <w:t xml:space="preserve">Стратегии</w:t>
        </w:r>
      </w:hyperlink>
      <w:r>
        <w:rPr>
          <w:sz w:val="20"/>
        </w:rPr>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pPr>
        <w:pStyle w:val="0"/>
        <w:jc w:val="both"/>
      </w:pPr>
      <w:r>
        <w:rPr>
          <w:sz w:val="20"/>
        </w:rPr>
        <w:t xml:space="preserve">(в ред. </w:t>
      </w:r>
      <w:hyperlink w:history="0" r:id="rId15"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sz w:val="20"/>
            <w:color w:val="0000ff"/>
          </w:rPr>
          <w:t xml:space="preserve">распоряжения</w:t>
        </w:r>
      </w:hyperlink>
      <w:r>
        <w:rPr>
          <w:sz w:val="20"/>
        </w:rPr>
        <w:t xml:space="preserve"> Правительства РФ от 21.10.2024 N 2963-р)</w:t>
      </w:r>
    </w:p>
    <w:p>
      <w:pPr>
        <w:pStyle w:val="0"/>
        <w:spacing w:before="200" w:line-rule="auto"/>
        <w:ind w:firstLine="540"/>
        <w:jc w:val="both"/>
      </w:pPr>
      <w:hyperlink w:history="0" r:id="rId16" w:tooltip="Указ Президента РФ от 19.04.2017 N 176 &quot;О Стратегии экологической безопасности Российской Федерации на период до 2025 года&quot; {КонсультантПлюс}">
        <w:r>
          <w:rPr>
            <w:sz w:val="20"/>
            <w:color w:val="0000ff"/>
          </w:rPr>
          <w:t xml:space="preserve">Стратегии</w:t>
        </w:r>
      </w:hyperlink>
      <w:r>
        <w:rPr>
          <w:sz w:val="20"/>
        </w:rPr>
        <w:t xml:space="preserve"> экологической безопасности Российской Федерации на период до 2025 года, утвержденной Указом Президента Российской Федерации от 19 апреля 2017 г. N 176 "О Стратегии экологической безопасности Российской Федерации на период до 2025 года";</w:t>
      </w:r>
    </w:p>
    <w:p>
      <w:pPr>
        <w:pStyle w:val="0"/>
        <w:spacing w:before="200" w:line-rule="auto"/>
        <w:ind w:firstLine="540"/>
        <w:jc w:val="both"/>
      </w:pPr>
      <w:hyperlink w:history="0" r:id="rId17" w:tooltip="Указ Президента РФ от 13.05.2017 N 208 &quot;О Стратегии экономической безопасности Российской Федерации на период до 2030 года&quot; {КонсультантПлюс}">
        <w:r>
          <w:rPr>
            <w:sz w:val="20"/>
            <w:color w:val="0000ff"/>
          </w:rPr>
          <w:t xml:space="preserve">Стратегии</w:t>
        </w:r>
      </w:hyperlink>
      <w:r>
        <w:rPr>
          <w:sz w:val="20"/>
        </w:rPr>
        <w:t xml:space="preserve"> экономической безопасности Российской Федерации на период до 2030 года, утвержденной Указом Президента Российской Федерации от 13 мая 2017 г. N 208 "О Стратегии экономической безопасности Российской Федерации на период до 2030 года";</w:t>
      </w:r>
    </w:p>
    <w:p>
      <w:pPr>
        <w:pStyle w:val="0"/>
        <w:spacing w:before="200" w:line-rule="auto"/>
        <w:ind w:firstLine="540"/>
        <w:jc w:val="both"/>
      </w:pPr>
      <w:hyperlink w:history="0" r:id="rId18"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w:t>
      </w:r>
    </w:p>
    <w:p>
      <w:pPr>
        <w:pStyle w:val="0"/>
        <w:spacing w:before="200" w:line-rule="auto"/>
        <w:ind w:firstLine="540"/>
        <w:jc w:val="both"/>
      </w:pPr>
      <w:hyperlink w:history="0" r:id="rId19"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r>
          <w:rPr>
            <w:sz w:val="20"/>
            <w:color w:val="0000ff"/>
          </w:rPr>
          <w:t xml:space="preserve">Стратегии</w:t>
        </w:r>
      </w:hyperlink>
      <w:r>
        <w:rPr>
          <w:sz w:val="20"/>
        </w:rP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w:t>
      </w:r>
    </w:p>
    <w:p>
      <w:pPr>
        <w:pStyle w:val="0"/>
        <w:spacing w:before="200" w:line-rule="auto"/>
        <w:ind w:firstLine="540"/>
        <w:jc w:val="both"/>
      </w:pPr>
      <w:hyperlink w:history="0" r:id="rId20" w:tooltip="Распоряжение Правительства РФ от 10.05.2016 N 868-р (ред. от 23.11.2016) &lt;О Стратегии развития промышленности строительных материалов на период до 2020 года и дальнейшую перспективу до 2030 года&gt; {КонсультантПлюс}">
        <w:r>
          <w:rPr>
            <w:sz w:val="20"/>
            <w:color w:val="0000ff"/>
          </w:rPr>
          <w:t xml:space="preserve">Стратегии</w:t>
        </w:r>
      </w:hyperlink>
      <w:r>
        <w:rPr>
          <w:sz w:val="20"/>
        </w:rPr>
        <w:t xml:space="preserve"> развития промышленности строительных материалов на период до 2020 года и дальнейшую перспективу до 2030 года, утвержденной распоряжением Правительства Российской Федерации от 10 мая 2016 г. N 868-р;</w:t>
      </w:r>
    </w:p>
    <w:p>
      <w:pPr>
        <w:pStyle w:val="0"/>
        <w:spacing w:before="200" w:line-rule="auto"/>
        <w:ind w:firstLine="540"/>
        <w:jc w:val="both"/>
      </w:pPr>
      <w:hyperlink w:history="0" r:id="rId21" w:tooltip="Распоряжение Правительства РФ от 25.01.2018 N 84-р (ред. от 13.10.2022) &lt;Об утверждении Стратегии развития промышленности по обработке, утилизации и обезвреживанию отходов производства и потребления на период до 2030 года&gt; {КонсультантПлюс}">
        <w:r>
          <w:rPr>
            <w:sz w:val="20"/>
            <w:color w:val="0000ff"/>
          </w:rPr>
          <w:t xml:space="preserve">Стратегии</w:t>
        </w:r>
      </w:hyperlink>
      <w:r>
        <w:rPr>
          <w:sz w:val="20"/>
        </w:rPr>
        <w:t xml:space="preserve"> развития промышленности по обработке, утилизации и обезвреживанию отходов производства и потребления на период до 2030 года, утвержденной распоряжением Правительства Российской Федерации от 25 января 2018 г. N 84-р;</w:t>
      </w:r>
    </w:p>
    <w:p>
      <w:pPr>
        <w:pStyle w:val="0"/>
        <w:spacing w:before="200" w:line-rule="auto"/>
        <w:ind w:firstLine="540"/>
        <w:jc w:val="both"/>
      </w:pPr>
      <w:hyperlink w:history="0" r:id="rId22"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Pr>
            <w:sz w:val="20"/>
            <w:color w:val="0000ff"/>
          </w:rPr>
          <w:t xml:space="preserve">Стратегии</w:t>
        </w:r>
      </w:hyperlink>
      <w:r>
        <w:rPr>
          <w:sz w:val="20"/>
        </w:rP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w:t>
      </w:r>
    </w:p>
    <w:p>
      <w:pPr>
        <w:pStyle w:val="0"/>
        <w:spacing w:before="200" w:line-rule="auto"/>
        <w:ind w:firstLine="540"/>
        <w:jc w:val="both"/>
      </w:pPr>
      <w:hyperlink w:history="0" r:id="rId23" w:tooltip="Распоряжение Правительства РФ от 20.09.2019 N 2129-р (ред. от 07.02.2022) &lt;Об утверждении Стратегии развития туризма в Российской Федерации на период до 2035 года&gt; ------------ Недействующая редакция {КонсультантПлюс}">
        <w:r>
          <w:rPr>
            <w:sz w:val="20"/>
            <w:color w:val="0000ff"/>
          </w:rPr>
          <w:t xml:space="preserve">Стратегии</w:t>
        </w:r>
      </w:hyperlink>
      <w:r>
        <w:rPr>
          <w:sz w:val="20"/>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pPr>
        <w:pStyle w:val="0"/>
        <w:spacing w:before="200" w:line-rule="auto"/>
        <w:ind w:firstLine="540"/>
        <w:jc w:val="both"/>
      </w:pPr>
      <w:r>
        <w:rPr>
          <w:sz w:val="20"/>
        </w:rPr>
        <w:t xml:space="preserve">Энергетической </w:t>
      </w:r>
      <w:hyperlink w:history="0" r:id="rId24" w:tooltip="Распоряжение Правительства РФ от 09.06.2020 N 1523-р (ред. от 15.02.2025) &lt;Об утверждении Энергетической стратегии Российской Федерации на период до 2035 года&gt; ------------ Утратил силу или отменен {КонсультантПлюс}">
        <w:r>
          <w:rPr>
            <w:sz w:val="20"/>
            <w:color w:val="0000ff"/>
          </w:rPr>
          <w:t xml:space="preserve">стратегии</w:t>
        </w:r>
      </w:hyperlink>
      <w:r>
        <w:rPr>
          <w:sz w:val="20"/>
        </w:rPr>
        <w:t xml:space="preserve"> Российской Федерации на период до 2035 года, утвержденной распоряжением Правительства Российской Федерации от 9 июня 2020 г. N 1523-р;</w:t>
      </w:r>
    </w:p>
    <w:p>
      <w:pPr>
        <w:pStyle w:val="0"/>
        <w:spacing w:before="200" w:line-rule="auto"/>
        <w:ind w:firstLine="540"/>
        <w:jc w:val="both"/>
      </w:pPr>
      <w:hyperlink w:history="0" r:id="rId25"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sz w:val="20"/>
            <w:color w:val="0000ff"/>
          </w:rPr>
          <w:t xml:space="preserve">Стратегии</w:t>
        </w:r>
      </w:hyperlink>
      <w:r>
        <w:rPr>
          <w:sz w:val="20"/>
        </w:rPr>
        <w:t xml:space="preserve"> развития лесного комплекса Российской Федерации до 2030 года, утвержденной распоряжением Правительства Российской Федерации от 11 февраля 2021 г. N 312-р;</w:t>
      </w:r>
    </w:p>
    <w:p>
      <w:pPr>
        <w:pStyle w:val="0"/>
        <w:spacing w:before="200" w:line-rule="auto"/>
        <w:ind w:firstLine="540"/>
        <w:jc w:val="both"/>
      </w:pPr>
      <w:hyperlink w:history="0" r:id="rId26" w:tooltip="Распоряжение Правительства РФ от 29.10.2021 N 3052-р &lt;Об утверждении стратегии социально-экономического развития Российской Федерации с низким уровнем выбросов парниковых газов до 2050 года&gt; {КонсультантПлюс}">
        <w:r>
          <w:rPr>
            <w:sz w:val="20"/>
            <w:color w:val="0000ff"/>
          </w:rPr>
          <w:t xml:space="preserve">Стратегии</w:t>
        </w:r>
      </w:hyperlink>
      <w:r>
        <w:rPr>
          <w:sz w:val="20"/>
        </w:rPr>
        <w:t xml:space="preserve"> социально-экономического развития Российской Федерации с низким уровнем выбросов парниковых газов до 2050 года, утвержденной распоряжением Правительства Российской Федерации от 29 октября 2021 г. N 3052-р;</w:t>
      </w:r>
    </w:p>
    <w:p>
      <w:pPr>
        <w:pStyle w:val="0"/>
        <w:spacing w:before="200" w:line-rule="auto"/>
        <w:ind w:firstLine="540"/>
        <w:jc w:val="both"/>
      </w:pPr>
      <w:r>
        <w:rPr>
          <w:sz w:val="20"/>
        </w:rPr>
        <w:t xml:space="preserve">Транспортной </w:t>
      </w:r>
      <w:hyperlink w:history="0" r:id="rId27" w:tooltip="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
        <w:r>
          <w:rPr>
            <w:sz w:val="20"/>
            <w:color w:val="0000ff"/>
          </w:rPr>
          <w:t xml:space="preserve">стратегии</w:t>
        </w:r>
      </w:hyperlink>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w:t>
      </w:r>
    </w:p>
    <w:p>
      <w:pPr>
        <w:pStyle w:val="0"/>
        <w:spacing w:before="200" w:line-rule="auto"/>
        <w:ind w:firstLine="540"/>
        <w:jc w:val="both"/>
      </w:pPr>
      <w:hyperlink w:history="0" r:id="rId28" w:tooltip="Распоряжение Правительства РФ от 06.10.2021 N 2816-р (ред. от 08.05.2025) &lt;Об утверждении перечня инициатив социально-экономического развития Российской Федерации до 2030 года&gt; {КонсультантПлюс}">
        <w:r>
          <w:rPr>
            <w:sz w:val="20"/>
            <w:color w:val="0000ff"/>
          </w:rPr>
          <w:t xml:space="preserve">перечня</w:t>
        </w:r>
      </w:hyperlink>
      <w:r>
        <w:rPr>
          <w:sz w:val="20"/>
        </w:rPr>
        <w:t xml:space="preserve"> инициатив социально-экономического развития Российской Федерации до 2030 года, утвержденного распоряжением Правительства Российской Федерации от 6 октября 2021 г. N 2816-р;</w:t>
      </w:r>
    </w:p>
    <w:p>
      <w:pPr>
        <w:pStyle w:val="0"/>
        <w:spacing w:before="200" w:line-rule="auto"/>
        <w:ind w:firstLine="540"/>
        <w:jc w:val="both"/>
      </w:pPr>
      <w:r>
        <w:rPr>
          <w:sz w:val="20"/>
        </w:rPr>
        <w:t xml:space="preserve">Единого </w:t>
      </w:r>
      <w:hyperlink w:history="0" r:id="rId29" w:tooltip="&quot;Единый план по достижению национальных целей развития Российской Федерации на период до 2024 года и на плановый период до 2030 года&quot; (утв. распоряжением Правительства РФ от 01.10.2021 N 2765-р) (с изм. от 24.12.2021) {КонсультантПлюс}">
        <w:r>
          <w:rPr>
            <w:sz w:val="20"/>
            <w:color w:val="0000ff"/>
          </w:rPr>
          <w:t xml:space="preserve">плана</w:t>
        </w:r>
      </w:hyperlink>
      <w:r>
        <w:rPr>
          <w:sz w:val="20"/>
        </w:rPr>
        <w:t xml:space="preserve"> по достижению национальных целей развития Российской Федерации на период до 2024 года и на плановый период до 2030 года, утвержденного </w:t>
      </w:r>
      <w:hyperlink w:history="0" r:id="rId30" w:tooltip="Распоряжение Правительства РФ от 01.10.2021 N 2765-р &lt;Об утверждении Единого плана по достижению национальных целей развития Российской Федерации на период до 2024 года и на плановый период до 2030 года&gt; {КонсультантПлюс}">
        <w:r>
          <w:rPr>
            <w:sz w:val="20"/>
            <w:color w:val="0000ff"/>
          </w:rPr>
          <w:t xml:space="preserve">распоряжением</w:t>
        </w:r>
      </w:hyperlink>
      <w:r>
        <w:rPr>
          <w:sz w:val="20"/>
        </w:rPr>
        <w:t xml:space="preserve"> Правительства Российской Федерации от 1 октября 2021 г. N 2765-р;</w:t>
      </w:r>
    </w:p>
    <w:p>
      <w:pPr>
        <w:pStyle w:val="0"/>
        <w:spacing w:before="200" w:line-rule="auto"/>
        <w:ind w:firstLine="540"/>
        <w:jc w:val="both"/>
      </w:pPr>
      <w:hyperlink w:history="0" r:id="rId31" w:tooltip="Распоряжение Правительства РФ от 31.12.2020 N 3684-р (ред. от 22.07.2024) &lt;Об утверждении Программы фундаментальных научных исследований в Российской Федерации на долгосрочный период (2021 - 2030 годы)&gt; {КонсультантПлюс}">
        <w:r>
          <w:rPr>
            <w:sz w:val="20"/>
            <w:color w:val="0000ff"/>
          </w:rPr>
          <w:t xml:space="preserve">Программы</w:t>
        </w:r>
      </w:hyperlink>
      <w:r>
        <w:rPr>
          <w:sz w:val="20"/>
        </w:rP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w:t>
      </w:r>
    </w:p>
    <w:p>
      <w:pPr>
        <w:pStyle w:val="0"/>
        <w:spacing w:before="200" w:line-rule="auto"/>
        <w:ind w:firstLine="540"/>
        <w:jc w:val="both"/>
      </w:pPr>
      <w:r>
        <w:rPr>
          <w:sz w:val="20"/>
        </w:rPr>
        <w:t xml:space="preserve">Бюджетного </w:t>
      </w:r>
      <w:hyperlink w:history="0" r:id="rId32" w:tooltip="Распоряжение Правительства РФ от 29.03.2019 N 558-р &lt;Об утверждении Бюджетного прогноза Российской Федерации на период до 2036 года&gt; (вместе с &quot;Бюджетным прогнозом...&quot; (Выписка)) ------------ Утратил силу или отменен {КонсультантПлюс}">
        <w:r>
          <w:rPr>
            <w:sz w:val="20"/>
            <w:color w:val="0000ff"/>
          </w:rPr>
          <w:t xml:space="preserve">прогноза</w:t>
        </w:r>
      </w:hyperlink>
      <w:r>
        <w:rPr>
          <w:sz w:val="20"/>
        </w:rPr>
        <w:t xml:space="preserve"> Российской Федерации на период до 2036 года, утвержденного распоряжением Правительства Российской Федерации от 29 марта 2019 г. N 558-р;</w:t>
      </w:r>
    </w:p>
    <w:p>
      <w:pPr>
        <w:pStyle w:val="0"/>
        <w:spacing w:before="200" w:line-rule="auto"/>
        <w:ind w:firstLine="540"/>
        <w:jc w:val="both"/>
      </w:pPr>
      <w:r>
        <w:rPr>
          <w:sz w:val="20"/>
        </w:rPr>
        <w:t xml:space="preserve">Национального </w:t>
      </w:r>
      <w:hyperlink w:history="0" r:id="rId33" w:tooltip="Распоряжение Правительства РФ от 02.09.2021 N 2424-р (ред. от 28.03.2025) &lt;Об утверждении Национального плана (&quot;дорожной карты&quot;) развития конкуренции в Российской Федерации на 2021 - 2025 годы&gt; {КонсультантПлюс}">
        <w:r>
          <w:rPr>
            <w:sz w:val="20"/>
            <w:color w:val="0000ff"/>
          </w:rPr>
          <w:t xml:space="preserve">плана</w:t>
        </w:r>
      </w:hyperlink>
      <w:r>
        <w:rPr>
          <w:sz w:val="20"/>
        </w:rP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
    <w:p>
      <w:pPr>
        <w:pStyle w:val="0"/>
        <w:spacing w:before="200" w:line-rule="auto"/>
        <w:ind w:firstLine="540"/>
        <w:jc w:val="both"/>
      </w:pPr>
      <w:r>
        <w:rPr>
          <w:sz w:val="20"/>
        </w:rPr>
        <w:t xml:space="preserve">государственной </w:t>
      </w:r>
      <w:hyperlink w:history="0" r:id="rId34" w:tooltip="Постановление Правительства РФ от 01.12.2021 N 2148 (ред. от 11.02.2025) &quot;Об утверждении государственной программы Российской Федерации &quot;Национальная система пространственных данных&quot; {КонсультантПлюс}">
        <w:r>
          <w:rPr>
            <w:sz w:val="20"/>
            <w:color w:val="0000ff"/>
          </w:rPr>
          <w:t xml:space="preserve">программы</w:t>
        </w:r>
      </w:hyperlink>
      <w:r>
        <w:rPr>
          <w:sz w:val="20"/>
        </w:rPr>
        <w:t xml:space="preserve"> Российской Федерации "Национальная система пространственных данных", утвержденной постановлением Правительства Российской Федерации от 1 декабря 2021 г. N 2148 "Об утверждении государственной программы Российской Федерации "Национальная система пространственных данных";</w:t>
      </w:r>
    </w:p>
    <w:p>
      <w:pPr>
        <w:pStyle w:val="0"/>
        <w:spacing w:before="200" w:line-rule="auto"/>
        <w:ind w:firstLine="540"/>
        <w:jc w:val="both"/>
      </w:pPr>
      <w:hyperlink w:history="0" r:id="rId35" w:tooltip="Ссылка на КонсультантПлюс">
        <w:r>
          <w:rPr>
            <w:sz w:val="20"/>
            <w:color w:val="0000ff"/>
          </w:rPr>
          <w:t xml:space="preserve">Прогноза</w:t>
        </w:r>
      </w:hyperlink>
      <w:r>
        <w:rPr>
          <w:sz w:val="20"/>
        </w:rPr>
        <w:t xml:space="preserve"> научно-технологического развития Российской Федерации на период до 2030 года, утвержденного Председателем Правительства Российской Федерации 3 января 2014 г. N ДМ-П8-5;</w:t>
      </w:r>
    </w:p>
    <w:p>
      <w:pPr>
        <w:pStyle w:val="0"/>
        <w:spacing w:before="200" w:line-rule="auto"/>
        <w:ind w:firstLine="540"/>
        <w:jc w:val="both"/>
      </w:pPr>
      <w:hyperlink w:history="0" r:id="rId36" w:tooltip="&quot;Прогноз социально-экономического развития Российской Федерации на период до 2036 года&quot; (разработан Минэкономразвития России) {КонсультантПлюс}">
        <w:r>
          <w:rPr>
            <w:sz w:val="20"/>
            <w:color w:val="0000ff"/>
          </w:rPr>
          <w:t xml:space="preserve">Прогноза</w:t>
        </w:r>
      </w:hyperlink>
      <w:r>
        <w:rPr>
          <w:sz w:val="20"/>
        </w:rPr>
        <w:t xml:space="preserve"> социально-экономического развития Российской Федерации на период до 2036 года, разработанного Министерством экономического развития Российской Федерации;</w:t>
      </w:r>
    </w:p>
    <w:p>
      <w:pPr>
        <w:pStyle w:val="0"/>
        <w:spacing w:before="200" w:line-rule="auto"/>
        <w:ind w:firstLine="540"/>
        <w:jc w:val="both"/>
      </w:pPr>
      <w:hyperlink w:history="0" r:id="rId37" w:tooltip="&quot;Прогноз социально-экономического развития Российской Федерации на 2023 год и на плановый период 2024 и 2025 годов&quot; (разработан Минэкономразвития России) {КонсультантПлюс}">
        <w:r>
          <w:rPr>
            <w:sz w:val="20"/>
            <w:color w:val="0000ff"/>
          </w:rPr>
          <w:t xml:space="preserve">Прогноза</w:t>
        </w:r>
      </w:hyperlink>
      <w:r>
        <w:rPr>
          <w:sz w:val="20"/>
        </w:rPr>
        <w:t xml:space="preserve"> социально-экономического развития Российской Федерации на 2023 год и плановый период 2024 и 2025 годов, разработанного Министерством экономического развития Российской Федерации;</w:t>
      </w:r>
    </w:p>
    <w:p>
      <w:pPr>
        <w:pStyle w:val="0"/>
        <w:spacing w:before="200" w:line-rule="auto"/>
        <w:ind w:firstLine="540"/>
        <w:jc w:val="both"/>
      </w:pPr>
      <w:r>
        <w:rPr>
          <w:sz w:val="20"/>
        </w:rPr>
        <w:t xml:space="preserve">иных документов стратегического планирования.</w:t>
      </w:r>
    </w:p>
    <w:p>
      <w:pPr>
        <w:pStyle w:val="0"/>
        <w:spacing w:before="200" w:line-rule="auto"/>
        <w:ind w:firstLine="540"/>
        <w:jc w:val="both"/>
      </w:pPr>
      <w:r>
        <w:rPr>
          <w:sz w:val="20"/>
        </w:rPr>
        <w:t xml:space="preserve">Стратегия учитывает положения </w:t>
      </w:r>
      <w:hyperlink w:history="0" r:id="rId38" w:tooltip="Ссылка на КонсультантПлюс">
        <w:r>
          <w:rPr>
            <w:sz w:val="20"/>
            <w:color w:val="0000ff"/>
          </w:rPr>
          <w:t xml:space="preserve">Конвенции</w:t>
        </w:r>
      </w:hyperlink>
      <w:r>
        <w:rPr>
          <w:sz w:val="20"/>
        </w:rPr>
        <w:t xml:space="preserve"> Организации Объединенных Наций о правах инвалидов и Федерального </w:t>
      </w:r>
      <w:hyperlink w:history="0" r:id="rId39"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закона</w:t>
        </w:r>
      </w:hyperlink>
      <w:r>
        <w:rPr>
          <w:sz w:val="20"/>
        </w:rPr>
        <w:t xml:space="preserve"> "О социальной защите инвалидов в Российской Федерации", а также Рамочной </w:t>
      </w:r>
      <w:hyperlink w:history="0" r:id="rId40" w:tooltip="Ссылка на КонсультантПлюс">
        <w:r>
          <w:rPr>
            <w:sz w:val="20"/>
            <w:color w:val="0000ff"/>
          </w:rPr>
          <w:t xml:space="preserve">конвенции</w:t>
        </w:r>
      </w:hyperlink>
      <w:r>
        <w:rPr>
          <w:sz w:val="20"/>
        </w:rPr>
        <w:t xml:space="preserve"> Организации Объединенных Наций об изменении климата и Федерального </w:t>
      </w:r>
      <w:hyperlink w:history="0" r:id="rId41" w:tooltip="Федеральный закон от 02.07.2021 N 296-ФЗ &quot;Об ограничении выбросов парниковых газов&quot; {КонсультантПлюс}">
        <w:r>
          <w:rPr>
            <w:sz w:val="20"/>
            <w:color w:val="0000ff"/>
          </w:rPr>
          <w:t xml:space="preserve">закона</w:t>
        </w:r>
      </w:hyperlink>
      <w:r>
        <w:rPr>
          <w:sz w:val="20"/>
        </w:rPr>
        <w:t xml:space="preserve"> "Об ограничении выбросов парниковых газов".</w:t>
      </w:r>
    </w:p>
    <w:p>
      <w:pPr>
        <w:pStyle w:val="0"/>
        <w:spacing w:before="200" w:line-rule="auto"/>
        <w:ind w:firstLine="540"/>
        <w:jc w:val="both"/>
      </w:pPr>
      <w:r>
        <w:rPr>
          <w:sz w:val="20"/>
        </w:rPr>
        <w:t xml:space="preserve">Основной целью Стратегии является обеспечение достижения к 2030 году национальных целей и стратегических задач, определенных указами Президента Российской Федерации от 7 мая 2018 г. </w:t>
      </w:r>
      <w:hyperlink w:history="0" r:id="rId42"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N 204</w:t>
        </w:r>
      </w:hyperlink>
      <w:r>
        <w:rPr>
          <w:sz w:val="20"/>
        </w:rPr>
        <w:t xml:space="preserve"> "О национальных целях и стратегических задачах развития Российской Федерации на период до 2024 года" и от 21 июля 2020 г. </w:t>
      </w:r>
      <w:hyperlink w:history="0" r:id="rId43"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0"/>
            <w:color w:val="0000ff"/>
          </w:rPr>
          <w:t xml:space="preserve">N 474</w:t>
        </w:r>
      </w:hyperlink>
      <w:r>
        <w:rPr>
          <w:sz w:val="20"/>
        </w:rPr>
        <w:t xml:space="preserve"> "О национальных целях развития Российской Федерации на период до 2030 года", в том числе национальных целей "комфортная и безопасная среда для жизни" и "цифровая трансформация".</w:t>
      </w:r>
    </w:p>
    <w:p>
      <w:pPr>
        <w:pStyle w:val="0"/>
        <w:spacing w:before="200" w:line-rule="auto"/>
        <w:ind w:firstLine="540"/>
        <w:jc w:val="both"/>
      </w:pPr>
      <w:r>
        <w:rPr>
          <w:sz w:val="20"/>
        </w:rPr>
        <w:t xml:space="preserve">Задачами для достижения указанной цели являются:</w:t>
      </w:r>
    </w:p>
    <w:p>
      <w:pPr>
        <w:pStyle w:val="0"/>
        <w:spacing w:before="200" w:line-rule="auto"/>
        <w:ind w:firstLine="540"/>
        <w:jc w:val="both"/>
      </w:pPr>
      <w:r>
        <w:rPr>
          <w:sz w:val="20"/>
        </w:rPr>
        <w:t xml:space="preserve">создание условий для преодоления последствий кризисных явлений за счет строительной отрасли как основы для восстановления экономики;</w:t>
      </w:r>
    </w:p>
    <w:p>
      <w:pPr>
        <w:pStyle w:val="0"/>
        <w:spacing w:before="200" w:line-rule="auto"/>
        <w:ind w:firstLine="540"/>
        <w:jc w:val="both"/>
      </w:pPr>
      <w:r>
        <w:rPr>
          <w:sz w:val="20"/>
        </w:rPr>
        <w:t xml:space="preserve">повышение комфортности и доступности жилья, улучшение качества городской среды;</w:t>
      </w:r>
    </w:p>
    <w:p>
      <w:pPr>
        <w:pStyle w:val="0"/>
        <w:spacing w:before="200" w:line-rule="auto"/>
        <w:ind w:firstLine="540"/>
        <w:jc w:val="both"/>
      </w:pPr>
      <w:r>
        <w:rPr>
          <w:sz w:val="20"/>
        </w:rPr>
        <w:t xml:space="preserve">формирование высокотехнологичных, конкурентоспособных отраслей строительства и жилищно-коммунального хозяйства;</w:t>
      </w:r>
    </w:p>
    <w:p>
      <w:pPr>
        <w:pStyle w:val="0"/>
        <w:spacing w:before="200" w:line-rule="auto"/>
        <w:ind w:firstLine="540"/>
        <w:jc w:val="both"/>
      </w:pPr>
      <w:r>
        <w:rPr>
          <w:sz w:val="20"/>
        </w:rPr>
        <w:t xml:space="preserve">повышение энергоэффективности строящихся и существующих объектов капитального строительства и коммунальных систем;</w:t>
      </w:r>
    </w:p>
    <w:p>
      <w:pPr>
        <w:pStyle w:val="0"/>
        <w:spacing w:before="200" w:line-rule="auto"/>
        <w:ind w:firstLine="540"/>
        <w:jc w:val="both"/>
      </w:pPr>
      <w:r>
        <w:rPr>
          <w:sz w:val="20"/>
        </w:rPr>
        <w:t xml:space="preserve">вовлечение в хозяйственный оборот ранее не задействованных для строительства земельных участков, повышение эффективности использования земельных участков, предназначенных для строительства;</w:t>
      </w:r>
    </w:p>
    <w:p>
      <w:pPr>
        <w:pStyle w:val="0"/>
        <w:spacing w:before="200" w:line-rule="auto"/>
        <w:ind w:firstLine="540"/>
        <w:jc w:val="both"/>
      </w:pPr>
      <w:r>
        <w:rPr>
          <w:sz w:val="20"/>
        </w:rPr>
        <w:t xml:space="preserve">минимизация негативного воздействия строительной отрасли и жилищно-коммунального хозяйства на окружающую среду.</w:t>
      </w:r>
    </w:p>
    <w:p>
      <w:pPr>
        <w:pStyle w:val="0"/>
        <w:spacing w:before="200" w:line-rule="auto"/>
        <w:ind w:firstLine="540"/>
        <w:jc w:val="both"/>
      </w:pPr>
      <w:r>
        <w:rPr>
          <w:sz w:val="20"/>
        </w:rPr>
        <w:t xml:space="preserve">Стратегическое развитие строительной отрасли и жилищно-коммунального хозяйства базируется на реализации наиболее эффективных мер и инструментов, а также на ресурсном обеспечении реализации Стратегии, предусмотренном </w:t>
      </w:r>
      <w:hyperlink w:history="0" w:anchor="P1273" w:tooltip="XII. Ресурсное обеспечение реализации Стратегии">
        <w:r>
          <w:rPr>
            <w:sz w:val="20"/>
            <w:color w:val="0000ff"/>
          </w:rPr>
          <w:t xml:space="preserve">разделом XII</w:t>
        </w:r>
      </w:hyperlink>
      <w:r>
        <w:rPr>
          <w:sz w:val="20"/>
        </w:rPr>
        <w:t xml:space="preserve"> Стратегии. Стратегией также предусмотрена взаимосвязь мероприятий национального </w:t>
      </w:r>
      <w:hyperlink w:history="0" r:id="rId44" w:tooltip="Ссылка на КонсультантПлюс">
        <w:r>
          <w:rPr>
            <w:sz w:val="20"/>
            <w:color w:val="0000ff"/>
          </w:rPr>
          <w:t xml:space="preserve">проекта</w:t>
        </w:r>
      </w:hyperlink>
      <w:r>
        <w:rPr>
          <w:sz w:val="20"/>
        </w:rPr>
        <w:t xml:space="preserve"> "Жилье и городская среда" с мероприятиями других национальных проектов, в том числе в случае принятия решений о продлении сроков реализации соответствующих национальных проектов.</w:t>
      </w:r>
    </w:p>
    <w:p>
      <w:pPr>
        <w:pStyle w:val="0"/>
        <w:spacing w:before="200" w:line-rule="auto"/>
        <w:ind w:firstLine="540"/>
        <w:jc w:val="both"/>
      </w:pPr>
      <w:r>
        <w:rPr>
          <w:sz w:val="20"/>
        </w:rPr>
        <w:t xml:space="preserve">За счет новых подходов к градостроительной политике Стратегией формулируются задачи для смежных отраслей, прежде всего промышленности, энергетики и транспорта. Это стало возможным за счет определения в Стратегии приоритетов развития для городских агломераций и опорных населенных пунктов, систематизации пространственных данных, а также упрощения правил стратегического планирования и их синхронизации с порядками и сроками принятия градостроительных решений на местах.</w:t>
      </w:r>
    </w:p>
    <w:p>
      <w:pPr>
        <w:pStyle w:val="0"/>
        <w:spacing w:before="200" w:line-rule="auto"/>
        <w:ind w:firstLine="540"/>
        <w:jc w:val="both"/>
      </w:pPr>
      <w:r>
        <w:rPr>
          <w:sz w:val="20"/>
        </w:rPr>
        <w:t xml:space="preserve">Формирование новых жилищных возможностей для граждан позволяет определить основные стратегические приоритеты жилищной политики, создать условия для комплексного обновления населенных пунктов и повышения качества жизни граждан. Жилищное строительство и обновление городов с учетом социальных и экономических эффектов являются ключевыми элементами Стратегии, которые формируют задачи по развитию строительной отрасли и ее ресурсному обеспечению.</w:t>
      </w:r>
    </w:p>
    <w:p>
      <w:pPr>
        <w:pStyle w:val="0"/>
        <w:spacing w:before="200" w:line-rule="auto"/>
        <w:ind w:firstLine="540"/>
        <w:jc w:val="both"/>
      </w:pPr>
      <w:r>
        <w:rPr>
          <w:sz w:val="20"/>
        </w:rPr>
        <w:t xml:space="preserve">Новый ритм строительству должны придать 3 направления его трансформации - административная, цифровая и профессиональная. Ключевыми задачами этих направлений являются:</w:t>
      </w:r>
    </w:p>
    <w:p>
      <w:pPr>
        <w:pStyle w:val="0"/>
        <w:spacing w:before="200" w:line-rule="auto"/>
        <w:ind w:firstLine="540"/>
        <w:jc w:val="both"/>
      </w:pPr>
      <w:r>
        <w:rPr>
          <w:sz w:val="20"/>
        </w:rPr>
        <w:t xml:space="preserve">сокращение продолжительности инвестиционно-строительного цикла не менее чем на 30 процентов;</w:t>
      </w:r>
    </w:p>
    <w:p>
      <w:pPr>
        <w:pStyle w:val="0"/>
        <w:spacing w:before="200" w:line-rule="auto"/>
        <w:ind w:firstLine="540"/>
        <w:jc w:val="both"/>
      </w:pPr>
      <w:r>
        <w:rPr>
          <w:sz w:val="20"/>
        </w:rPr>
        <w:t xml:space="preserve">обеспечение максимальной прозрачности его процедур за счет их цифровизации;</w:t>
      </w:r>
    </w:p>
    <w:p>
      <w:pPr>
        <w:pStyle w:val="0"/>
        <w:spacing w:before="200" w:line-rule="auto"/>
        <w:ind w:firstLine="540"/>
        <w:jc w:val="both"/>
      </w:pPr>
      <w:r>
        <w:rPr>
          <w:sz w:val="20"/>
        </w:rPr>
        <w:t xml:space="preserve">исключение избыточных ограничений по использованию земельных участков для строительства, в том числе имея в виду реформу регулирования зон с особыми условиями использования территорий;</w:t>
      </w:r>
    </w:p>
    <w:p>
      <w:pPr>
        <w:pStyle w:val="0"/>
        <w:spacing w:before="200" w:line-rule="auto"/>
        <w:ind w:firstLine="540"/>
        <w:jc w:val="both"/>
      </w:pPr>
      <w:r>
        <w:rPr>
          <w:sz w:val="20"/>
        </w:rPr>
        <w:t xml:space="preserve">установление целевых ориентиров для совершенствования правил допуска на рынок строительных услуг новых организаций;</w:t>
      </w:r>
    </w:p>
    <w:p>
      <w:pPr>
        <w:pStyle w:val="0"/>
        <w:spacing w:before="200" w:line-rule="auto"/>
        <w:ind w:firstLine="540"/>
        <w:jc w:val="both"/>
      </w:pPr>
      <w:r>
        <w:rPr>
          <w:sz w:val="20"/>
        </w:rPr>
        <w:t xml:space="preserve">привлечение необходимых для выполнения поставленных задач строительных ресурсов и повышение производительности труда.</w:t>
      </w:r>
    </w:p>
    <w:p>
      <w:pPr>
        <w:pStyle w:val="0"/>
        <w:spacing w:before="200" w:line-rule="auto"/>
        <w:ind w:firstLine="540"/>
        <w:jc w:val="both"/>
      </w:pPr>
      <w:r>
        <w:rPr>
          <w:sz w:val="20"/>
        </w:rPr>
        <w:t xml:space="preserve">В целях развития и модернизации коммунальной инфраструктуры Стратегией предусмотрена реализация долгосрочной комплексной программы модернизации коммунальной инфраструктуры, благодаря которой отрасль жилищного хозяйства сможет выдержать нагрузку в связи с увеличивающимися темпами строительства, а также повысится качество предоставляемых гражданам коммунальных услуг. Необходимы кардинальные решения, направленные на повышение энергетической эффективности систем инженерно-технического обеспечения путем поэтапного снижения их износа, уменьшения потерь в сетях инженерно-технического обеспечения и аварийности этих систем.</w:t>
      </w:r>
    </w:p>
    <w:p>
      <w:pPr>
        <w:pStyle w:val="0"/>
        <w:spacing w:before="200" w:line-rule="auto"/>
        <w:ind w:firstLine="540"/>
        <w:jc w:val="both"/>
      </w:pPr>
      <w:r>
        <w:rPr>
          <w:sz w:val="20"/>
        </w:rPr>
        <w:t xml:space="preserve">В совокупности весь комплекс мероприятий Стратегии, направленный на повышение комфортности и доступности жилья, улучшение качества городской среды, формирование высокотехнологичных, конкурентоспособных отраслей строительства и жилищно-коммунального хозяйства, обеспечит рост инвестиций и увеличение вклада отраслей строительства и жилищно-коммунального хозяйства в валовой внутренний продукт.</w:t>
      </w:r>
    </w:p>
    <w:p>
      <w:pPr>
        <w:pStyle w:val="0"/>
        <w:spacing w:before="200" w:line-rule="auto"/>
        <w:ind w:firstLine="540"/>
        <w:jc w:val="both"/>
      </w:pPr>
      <w:r>
        <w:rPr>
          <w:sz w:val="20"/>
        </w:rPr>
        <w:t xml:space="preserve">Реализация Стратегии осуществляется в 2 этапа:</w:t>
      </w:r>
    </w:p>
    <w:p>
      <w:pPr>
        <w:pStyle w:val="0"/>
        <w:spacing w:before="200" w:line-rule="auto"/>
        <w:ind w:firstLine="540"/>
        <w:jc w:val="both"/>
      </w:pPr>
      <w:r>
        <w:rPr>
          <w:sz w:val="20"/>
        </w:rPr>
        <w:t xml:space="preserve">первый - с 2022 года по 2024 год;</w:t>
      </w:r>
    </w:p>
    <w:p>
      <w:pPr>
        <w:pStyle w:val="0"/>
        <w:spacing w:before="200" w:line-rule="auto"/>
        <w:ind w:firstLine="540"/>
        <w:jc w:val="both"/>
      </w:pPr>
      <w:r>
        <w:rPr>
          <w:sz w:val="20"/>
        </w:rPr>
        <w:t xml:space="preserve">второй - с 2025 года по 2030 год с ориентиром на достижение прогнозных значений показателей 2035 года.</w:t>
      </w:r>
    </w:p>
    <w:p>
      <w:pPr>
        <w:pStyle w:val="0"/>
        <w:spacing w:before="200" w:line-rule="auto"/>
        <w:ind w:firstLine="540"/>
        <w:jc w:val="both"/>
      </w:pPr>
      <w:r>
        <w:rPr>
          <w:sz w:val="20"/>
        </w:rPr>
        <w:t xml:space="preserve">В качестве базового периода определен 2021 год.</w:t>
      </w:r>
    </w:p>
    <w:p>
      <w:pPr>
        <w:pStyle w:val="0"/>
        <w:spacing w:before="200" w:line-rule="auto"/>
        <w:ind w:firstLine="540"/>
        <w:jc w:val="both"/>
      </w:pPr>
      <w:r>
        <w:rPr>
          <w:sz w:val="20"/>
        </w:rPr>
        <w:t xml:space="preserve">Основные понятия, используемые в Стратегии, означают следующее:</w:t>
      </w:r>
    </w:p>
    <w:p>
      <w:pPr>
        <w:pStyle w:val="0"/>
        <w:spacing w:before="200" w:line-rule="auto"/>
        <w:ind w:firstLine="540"/>
        <w:jc w:val="both"/>
      </w:pPr>
      <w:r>
        <w:rPr>
          <w:sz w:val="20"/>
        </w:rPr>
        <w:t xml:space="preserve">"2 СТУ = норма" - механизм ускоренной актуализации сводов правил, утверждаемых Министерством строительства и жилищно-коммунального хозяйства Российской Федерации, для внедрения в практику проектирования повторяющихся (2 и более раза) нормативных технических требований, установленных в согласованных Министерством строительства и жилищно-коммунального хозяйства Российской Федерации специальных технических условиях (процедура ускоренной актуализации свода правил сохраняет в своем составе наличие публичного обсуждения и экспертизы);</w:t>
      </w:r>
    </w:p>
    <w:p>
      <w:pPr>
        <w:pStyle w:val="0"/>
        <w:spacing w:before="200" w:line-rule="auto"/>
        <w:ind w:firstLine="540"/>
        <w:jc w:val="both"/>
      </w:pPr>
      <w:r>
        <w:rPr>
          <w:sz w:val="20"/>
        </w:rPr>
        <w:t xml:space="preserve">"аддитивные технологии в строительстве" - технологии создания объектов капитального строительства путем их послойного наращивания и синтеза с помощью электронных геометрических моделей (3D-печать);</w:t>
      </w:r>
    </w:p>
    <w:p>
      <w:pPr>
        <w:pStyle w:val="0"/>
        <w:spacing w:before="200" w:line-rule="auto"/>
        <w:ind w:firstLine="540"/>
        <w:jc w:val="both"/>
      </w:pPr>
      <w:r>
        <w:rPr>
          <w:sz w:val="20"/>
        </w:rPr>
        <w:t xml:space="preserve">"бережливое строительство" - управленческая концепция, призванная сократить все возможные виды затрат, которые возникают в процессе производства (потери материалов, времени и усилий), в целях получения максимально возможной стоимости. Главные принципы "бережливого строительства" - систематизация всех звеньев производственного процесса и оптимизация работы каждого из них для достижения наибольшей эффективности;</w:t>
      </w:r>
    </w:p>
    <w:p>
      <w:pPr>
        <w:pStyle w:val="0"/>
        <w:spacing w:before="200" w:line-rule="auto"/>
        <w:ind w:firstLine="540"/>
        <w:jc w:val="both"/>
      </w:pPr>
      <w:r>
        <w:rPr>
          <w:sz w:val="20"/>
        </w:rPr>
        <w:t xml:space="preserve">"ветхое жилье" - вид жилого дома, техническое состояние основных конструктивных элементов которого в результате высокого физического износа (70 процентов и более) перестает удовлетворять заданным эксплуатационным характеристикам и требованиям;</w:t>
      </w:r>
    </w:p>
    <w:p>
      <w:pPr>
        <w:pStyle w:val="0"/>
        <w:spacing w:before="200" w:line-rule="auto"/>
        <w:ind w:firstLine="540"/>
        <w:jc w:val="both"/>
      </w:pPr>
      <w:r>
        <w:rPr>
          <w:sz w:val="20"/>
        </w:rPr>
        <w:t xml:space="preserve">"городская агломерация" - совокупность компактно расположенных населенных пунктов и территорий между ними с общей численностью населения более 250 тыс. человек, связанных совместным использованием инфраструктурных объектов и объединенных интенсивными экономическими, в том числе трудовыми и социальными, связями;</w:t>
      </w:r>
    </w:p>
    <w:p>
      <w:pPr>
        <w:pStyle w:val="0"/>
        <w:spacing w:before="200" w:line-rule="auto"/>
        <w:ind w:firstLine="540"/>
        <w:jc w:val="both"/>
      </w:pPr>
      <w:r>
        <w:rPr>
          <w:sz w:val="20"/>
        </w:rPr>
        <w:t xml:space="preserve">"дезинвазия осадков" - обеззараживание осадков сточных вод;</w:t>
      </w:r>
    </w:p>
    <w:p>
      <w:pPr>
        <w:pStyle w:val="0"/>
        <w:spacing w:before="200" w:line-rule="auto"/>
        <w:ind w:firstLine="540"/>
        <w:jc w:val="both"/>
      </w:pPr>
      <w:r>
        <w:rPr>
          <w:sz w:val="20"/>
        </w:rPr>
        <w:t xml:space="preserve">"здоровые улицы" - это подход, который позволяет принимать взвешенные решения в транспортной и градостроительной политике с учетом приоритетов в области здравоохранения граждан;</w:t>
      </w:r>
    </w:p>
    <w:p>
      <w:pPr>
        <w:pStyle w:val="0"/>
        <w:spacing w:before="200" w:line-rule="auto"/>
        <w:ind w:firstLine="540"/>
        <w:jc w:val="both"/>
      </w:pPr>
      <w:r>
        <w:rPr>
          <w:sz w:val="20"/>
        </w:rPr>
        <w:t xml:space="preserve">"зеленое строительство" - вид строительства и эксплуатации зданий с минимальным воздействием на окружающую среду, в том числе в целях снижения уровня потребления энергетических и материальных ресурсов на протяжении всего жизненного цикла объекта капитального строительства;</w:t>
      </w:r>
    </w:p>
    <w:p>
      <w:pPr>
        <w:pStyle w:val="0"/>
        <w:spacing w:before="200" w:line-rule="auto"/>
        <w:ind w:firstLine="540"/>
        <w:jc w:val="both"/>
      </w:pPr>
      <w:r>
        <w:rPr>
          <w:sz w:val="20"/>
        </w:rPr>
        <w:t xml:space="preserve">"зеленые здания" - здания, возведенные при помощи технологий, обеспечивающих экологичность и безопасность;</w:t>
      </w:r>
    </w:p>
    <w:p>
      <w:pPr>
        <w:pStyle w:val="0"/>
        <w:spacing w:before="200" w:line-rule="auto"/>
        <w:ind w:firstLine="540"/>
        <w:jc w:val="both"/>
      </w:pPr>
      <w:r>
        <w:rPr>
          <w:sz w:val="20"/>
        </w:rPr>
        <w:t xml:space="preserve">"зеленые решения" - инновационные и экологичные ресурсы и материалы, которые имеют новые и улучшенные технологические характеристики, направленные на минимизацию негативного воздействия на окружающую среду, и их использование существенно отличается от имеющихся альтернативных решений;</w:t>
      </w:r>
    </w:p>
    <w:p>
      <w:pPr>
        <w:pStyle w:val="0"/>
        <w:spacing w:before="200" w:line-rule="auto"/>
        <w:ind w:firstLine="540"/>
        <w:jc w:val="both"/>
      </w:pPr>
      <w:r>
        <w:rPr>
          <w:sz w:val="20"/>
        </w:rPr>
        <w:t xml:space="preserve">"зеленые стандарты" - стандарты, устанавливающие требования к "зеленым" технологиям среды жизнедеятельности и "зеленой" инновационной продукции;</w:t>
      </w:r>
    </w:p>
    <w:p>
      <w:pPr>
        <w:pStyle w:val="0"/>
        <w:spacing w:before="200" w:line-rule="auto"/>
        <w:ind w:firstLine="540"/>
        <w:jc w:val="both"/>
      </w:pPr>
      <w:r>
        <w:rPr>
          <w:sz w:val="20"/>
        </w:rPr>
        <w:t xml:space="preserve">"институт заказчиков работ и услуг для многоквартирных домов" - система взаимоотношений между собственниками помещений в многоквартирном доме и лицами, осуществляющими управление многоквартирными домами, или организациями, предоставляющими услуги по обслуживанию и текущему ремонту общего имущества;</w:t>
      </w:r>
    </w:p>
    <w:p>
      <w:pPr>
        <w:pStyle w:val="0"/>
        <w:spacing w:before="200" w:line-rule="auto"/>
        <w:ind w:firstLine="540"/>
        <w:jc w:val="both"/>
      </w:pPr>
      <w:r>
        <w:rPr>
          <w:sz w:val="20"/>
        </w:rPr>
        <w:t xml:space="preserve">"институт технического нормирования в строительстве" - центр компетенций в области технического регулирования в строительстве, организация, выполняющая работы по реализации программы национальной стандартизации в области строительства, разработке сводов правил в области строительства, проведению экспертизы документов по стандартизации в области строительства, информационному обеспечению национальной системы нормирования в строительстве, формированию и ведению реестра документов, содержащих требования, подлежащие применению при проведении экспертизы проектной документации и (или) результатов инженерных изысканий;</w:t>
      </w:r>
    </w:p>
    <w:p>
      <w:pPr>
        <w:pStyle w:val="0"/>
        <w:spacing w:before="200" w:line-rule="auto"/>
        <w:ind w:firstLine="540"/>
        <w:jc w:val="both"/>
      </w:pPr>
      <w:r>
        <w:rPr>
          <w:sz w:val="20"/>
        </w:rPr>
        <w:t xml:space="preserve">"институт экспертизы проектной документации и результатов инженерных изысканий" - один из механизмов обеспечения безопасности объектов капитального строительства посредством оценки соответствия проектной документации требованиям технических регламентов, а также проверки достоверности определения сметной стоимости строительства объектов капитального строительства;</w:t>
      </w:r>
    </w:p>
    <w:p>
      <w:pPr>
        <w:pStyle w:val="0"/>
        <w:spacing w:before="200" w:line-rule="auto"/>
        <w:ind w:firstLine="540"/>
        <w:jc w:val="both"/>
      </w:pPr>
      <w:r>
        <w:rPr>
          <w:sz w:val="20"/>
        </w:rPr>
        <w:t xml:space="preserve">"креативная экономика" - экономика, которая включает продукты и услуги со значительными креативными и инновационными компонентами, которая помимо отраслей культуры включает сферы информационно-коммуникационных технологий, компьютерных игр, моды, искусства, дизайна, видео, фотографии, кино, архитектуры и др.;</w:t>
      </w:r>
    </w:p>
    <w:p>
      <w:pPr>
        <w:pStyle w:val="0"/>
        <w:spacing w:before="200" w:line-rule="auto"/>
        <w:ind w:firstLine="540"/>
        <w:jc w:val="both"/>
      </w:pPr>
      <w:r>
        <w:rPr>
          <w:sz w:val="20"/>
        </w:rPr>
        <w:t xml:space="preserve">"новая программа расселения" - программа расселения аварийного жилья, признанного таковым в период с 1 января 2017 г. до 1 января 2022 г.;</w:t>
      </w:r>
    </w:p>
    <w:p>
      <w:pPr>
        <w:pStyle w:val="0"/>
        <w:spacing w:before="200" w:line-rule="auto"/>
        <w:ind w:firstLine="540"/>
        <w:jc w:val="both"/>
      </w:pPr>
      <w:r>
        <w:rPr>
          <w:sz w:val="20"/>
        </w:rPr>
        <w:t xml:space="preserve">"опорный населенный пункт" - населенный пункт, расположенный вне границ городских агломераций, на базе которого обеспечивается ускоренное развитие социальной, транспортной, инженерной инфраструктур, обеспечивающих реализацию гарантий в сфере образования, доступность медицинской помощи, услуг в сфере культуры и реализацию иных потребностей населения территорий одного или нескольких муниципальных образований;</w:t>
      </w:r>
    </w:p>
    <w:p>
      <w:pPr>
        <w:pStyle w:val="0"/>
        <w:spacing w:before="200" w:line-rule="auto"/>
        <w:ind w:firstLine="540"/>
        <w:jc w:val="both"/>
      </w:pPr>
      <w:r>
        <w:rPr>
          <w:sz w:val="20"/>
        </w:rPr>
        <w:t xml:space="preserve">"параметрический метод нормирования" - метод установления нормативных требований, при котором установление обязательных требований применяется только к эксплуатационным (функциональным) характеристикам объекта технического регулирования, в том числе к количественным параметрам, вне зависимости от его конструкции и исполнения. При этом способы достижения этих требований устанавливаются на добровольной основе с возможностью применения иных способов (подходов) на альтернативной основе;</w:t>
      </w:r>
    </w:p>
    <w:p>
      <w:pPr>
        <w:pStyle w:val="0"/>
        <w:spacing w:before="200" w:line-rule="auto"/>
        <w:ind w:firstLine="540"/>
        <w:jc w:val="both"/>
      </w:pPr>
      <w:r>
        <w:rPr>
          <w:sz w:val="20"/>
        </w:rPr>
        <w:t xml:space="preserve">"предписывающий метод нормирования" - метод установления нормативных требований, характеризующийся поэлементным описанием объекта (объект капитального строительства или его части), в соответствии с которым предписываются (устанавливаются) конкретные объемно-планировочные, конструктивные, инженерные и технологические решения, применяемые материалы и изделия с их рабочими характеристиками и др.;</w:t>
      </w:r>
    </w:p>
    <w:p>
      <w:pPr>
        <w:pStyle w:val="0"/>
        <w:spacing w:before="200" w:line-rule="auto"/>
        <w:ind w:firstLine="540"/>
        <w:jc w:val="both"/>
      </w:pPr>
      <w:r>
        <w:rPr>
          <w:sz w:val="20"/>
        </w:rPr>
        <w:t xml:space="preserve">"перспективный центр экономического роста" - территория одного или нескольких муниципальных образований и (или) акватория, обладающие потенциалом для обеспечения значительного вклада в экономический рост Российской Федерации и (или) субъекта Российской Федерации в среднесрочный и долгосрочный периоды (к перспективным центрам экономического роста относятся в том числе минерально-сырьевой центр и агропромышленный центр);</w:t>
      </w:r>
    </w:p>
    <w:p>
      <w:pPr>
        <w:pStyle w:val="0"/>
        <w:spacing w:before="200" w:line-rule="auto"/>
        <w:ind w:firstLine="540"/>
        <w:jc w:val="both"/>
      </w:pPr>
      <w:r>
        <w:rPr>
          <w:sz w:val="20"/>
        </w:rPr>
        <w:t xml:space="preserve">"реестровый принцип разработки технических требований" - принцип разработки технических требований, предполагающий возможность их практической имплементации (в том числе на обязательной основе) только после включения таких требований в соответствующий реестр;</w:t>
      </w:r>
    </w:p>
    <w:p>
      <w:pPr>
        <w:pStyle w:val="0"/>
        <w:spacing w:before="200" w:line-rule="auto"/>
        <w:ind w:firstLine="540"/>
        <w:jc w:val="both"/>
      </w:pPr>
      <w:r>
        <w:rPr>
          <w:sz w:val="20"/>
        </w:rPr>
        <w:t xml:space="preserve">"сбалансированное территориальное планирование" - планирование развития территорий с оптимальным соотношением объема застройки и возможностей развития инженерной, транспортной и социальной инфраструктур, в том числе при установлении функциональных зон, определении планируемого размещения объектов федерального, регионального и местного значения, направленное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w:t>
      </w:r>
    </w:p>
    <w:p>
      <w:pPr>
        <w:pStyle w:val="0"/>
        <w:spacing w:before="200" w:line-rule="auto"/>
        <w:ind w:firstLine="540"/>
        <w:jc w:val="both"/>
      </w:pPr>
      <w:r>
        <w:rPr>
          <w:sz w:val="20"/>
        </w:rPr>
        <w:t xml:space="preserve">"теория "пешеходного города" - градостроительная концепция, подразумевающая возрождение небольшого компактного города (или района);</w:t>
      </w:r>
    </w:p>
    <w:p>
      <w:pPr>
        <w:pStyle w:val="0"/>
        <w:spacing w:before="200" w:line-rule="auto"/>
        <w:ind w:firstLine="540"/>
        <w:jc w:val="both"/>
      </w:pPr>
      <w:r>
        <w:rPr>
          <w:sz w:val="20"/>
        </w:rPr>
        <w:t xml:space="preserve">"технологическая цепочка" - упорядоченная в порядке выполнения операций по переработке сырья совокупность юридических лиц, осуществляющих производственную деятельность по изготовлению конечного продукта в рамках полного технологического цикла;</w:t>
      </w:r>
    </w:p>
    <w:p>
      <w:pPr>
        <w:pStyle w:val="0"/>
        <w:spacing w:before="200" w:line-rule="auto"/>
        <w:ind w:firstLine="540"/>
        <w:jc w:val="both"/>
      </w:pPr>
      <w:r>
        <w:rPr>
          <w:sz w:val="20"/>
        </w:rPr>
        <w:t xml:space="preserve">"типовое проектирование" - разработка проектной и сметной документации на здания, сооружения и (или) их части (строительные конструкции), предназначенные для многократного повторного применения в строительстве;</w:t>
      </w:r>
    </w:p>
    <w:p>
      <w:pPr>
        <w:pStyle w:val="0"/>
        <w:spacing w:before="200" w:line-rule="auto"/>
        <w:ind w:firstLine="540"/>
        <w:jc w:val="both"/>
      </w:pPr>
      <w:r>
        <w:rPr>
          <w:sz w:val="20"/>
        </w:rPr>
        <w:t xml:space="preserve">"умный дом" - комплексная система автоматизации управления оборудованием, размещенным на объекте капитального строительства (как правило, применительно к жилым зданиям) и обеспечивающим работу систем инженерно-технического обеспечения и других функционально-технологических систем, характерных для объектов капитального строительства;</w:t>
      </w:r>
    </w:p>
    <w:p>
      <w:pPr>
        <w:pStyle w:val="0"/>
        <w:spacing w:before="200" w:line-rule="auto"/>
        <w:ind w:firstLine="540"/>
        <w:jc w:val="both"/>
      </w:pPr>
      <w:r>
        <w:rPr>
          <w:sz w:val="20"/>
        </w:rPr>
        <w:t xml:space="preserve">"формат "удаленной" работы" - способ организации труда, при котором работник выполняет установленные трудовые обязанности по своей работе с помощью информационно-коммуникационных технологий, не находясь на своем рабочем месте;</w:t>
      </w:r>
    </w:p>
    <w:p>
      <w:pPr>
        <w:pStyle w:val="0"/>
        <w:spacing w:before="200" w:line-rule="auto"/>
        <w:ind w:firstLine="540"/>
        <w:jc w:val="both"/>
      </w:pPr>
      <w:r>
        <w:rPr>
          <w:sz w:val="20"/>
        </w:rPr>
        <w:t xml:space="preserve">"цифровой двойник" объекта капитального строительства" - синхронизированная цифровая копия объекта капитального строительства, представляющая собой виртуальную модель, воспроизводящую форму оригинального объекта и все характерные для такого оригинала процессы, что позволяет однозначно идентифицировать все исторические изменения, выполненные для объекта-оригинала, а также прогнозировать жизненный цикл копируемого объекта;</w:t>
      </w:r>
    </w:p>
    <w:p>
      <w:pPr>
        <w:pStyle w:val="0"/>
        <w:spacing w:before="200" w:line-rule="auto"/>
        <w:ind w:firstLine="540"/>
        <w:jc w:val="both"/>
      </w:pPr>
      <w:r>
        <w:rPr>
          <w:sz w:val="20"/>
        </w:rPr>
        <w:t xml:space="preserve">"экономика совместного потребления" - описание экономической модели, основанной на коллективном использовании товаров и услуг, обмене или совместном найме вместо владения;</w:t>
      </w:r>
    </w:p>
    <w:p>
      <w:pPr>
        <w:pStyle w:val="0"/>
        <w:spacing w:before="200" w:line-rule="auto"/>
        <w:ind w:firstLine="540"/>
        <w:jc w:val="both"/>
      </w:pPr>
      <w:r>
        <w:rPr>
          <w:sz w:val="20"/>
        </w:rPr>
        <w:t xml:space="preserve">"энергосервисный контракт" - форма договора, направленного на экономию эксплуатационных расходов (оплату коммунальных услуг и ресурсов) за счет повышения энергоэффективности и мероприятий по энергосбережению. Оплата по энергосервисному контракту осуществляется за счет достигнутой экономии средств, получаемой после внедрения энергосберегающих технологий.</w:t>
      </w:r>
    </w:p>
    <w:p>
      <w:pPr>
        <w:pStyle w:val="0"/>
        <w:jc w:val="both"/>
      </w:pPr>
      <w:r>
        <w:rPr>
          <w:sz w:val="20"/>
        </w:rPr>
      </w:r>
    </w:p>
    <w:p>
      <w:pPr>
        <w:pStyle w:val="2"/>
        <w:outlineLvl w:val="2"/>
        <w:jc w:val="center"/>
      </w:pPr>
      <w:r>
        <w:rPr>
          <w:sz w:val="20"/>
        </w:rPr>
        <w:t xml:space="preserve">2. Текущая ситуация в строительстве</w:t>
      </w:r>
    </w:p>
    <w:p>
      <w:pPr>
        <w:pStyle w:val="2"/>
        <w:jc w:val="center"/>
      </w:pPr>
      <w:r>
        <w:rPr>
          <w:sz w:val="20"/>
        </w:rPr>
        <w:t xml:space="preserve">и жилищно-коммунальном хозяйстве</w:t>
      </w:r>
    </w:p>
    <w:p>
      <w:pPr>
        <w:pStyle w:val="0"/>
        <w:jc w:val="both"/>
      </w:pPr>
      <w:r>
        <w:rPr>
          <w:sz w:val="20"/>
        </w:rPr>
      </w:r>
    </w:p>
    <w:p>
      <w:pPr>
        <w:pStyle w:val="0"/>
        <w:ind w:firstLine="540"/>
        <w:jc w:val="both"/>
      </w:pPr>
      <w:r>
        <w:rPr>
          <w:sz w:val="20"/>
        </w:rPr>
        <w:t xml:space="preserve">Исторически строительство и жилищно-коммунальное хозяйство являются одними из самых значимых отраслей экономики нашей страны, определяют динамику ее развития, обеспечивают занятость, доходы миллионов граждан, а также вносят непосредственный вклад в создание комфортных и удобных условий жизнедеятельности граждан.</w:t>
      </w:r>
    </w:p>
    <w:p>
      <w:pPr>
        <w:pStyle w:val="0"/>
        <w:spacing w:before="200" w:line-rule="auto"/>
        <w:ind w:firstLine="540"/>
        <w:jc w:val="both"/>
      </w:pPr>
      <w:r>
        <w:rPr>
          <w:sz w:val="20"/>
        </w:rPr>
        <w:t xml:space="preserve">Строительная отрасль претерпела существенные структурные изменения за последние 2 десятилетия. В переходный период истории страны (1990-е годы) из-за резкого снижения государственного финансирования упали темпы возведения крупных объектов капитального строительства.</w:t>
      </w:r>
    </w:p>
    <w:p>
      <w:pPr>
        <w:pStyle w:val="0"/>
        <w:spacing w:before="200" w:line-rule="auto"/>
        <w:ind w:firstLine="540"/>
        <w:jc w:val="both"/>
      </w:pPr>
      <w:r>
        <w:rPr>
          <w:sz w:val="20"/>
        </w:rPr>
        <w:t xml:space="preserve">Возрождение масштабного строительства началось в конце 2000-х - начале 2010-х годов. Правовой основой для этого стало принятие в конце 2004 года Градостроительного </w:t>
      </w:r>
      <w:hyperlink w:history="0" r:id="rId4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кодекса</w:t>
        </w:r>
      </w:hyperlink>
      <w:r>
        <w:rPr>
          <w:sz w:val="20"/>
        </w:rPr>
        <w:t xml:space="preserve"> Российской Федерации, Жилищного </w:t>
      </w:r>
      <w:hyperlink w:history="0" r:id="rId4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кодекса</w:t>
        </w:r>
      </w:hyperlink>
      <w:r>
        <w:rPr>
          <w:sz w:val="20"/>
        </w:rPr>
        <w:t xml:space="preserve"> Российской Федерации и целого ряда значимых для строительной отрасли законов, включая Федеральный </w:t>
      </w:r>
      <w:hyperlink w:history="0" r:id="rId4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w:t>
        </w:r>
      </w:hyperlink>
      <w:r>
        <w:rPr>
          <w:sz w:val="2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Сформирован рынок ипотеки, запущена секьюритизация ипотечных кредитов. Кроме того, приняты законы о дорожной деятельности, концессионных соглашениях, создании Государственной компании "Автодор" и государственной корпорации - Фонда содействия реформированию жилищно-коммунального хозяйства, создан механизм вовлечения в оборот неэффективно используемых земельных участков, находящихся в федеральной собственности.</w:t>
      </w:r>
    </w:p>
    <w:p>
      <w:pPr>
        <w:pStyle w:val="0"/>
        <w:spacing w:before="200" w:line-rule="auto"/>
        <w:ind w:firstLine="540"/>
        <w:jc w:val="both"/>
      </w:pPr>
      <w:r>
        <w:rPr>
          <w:sz w:val="20"/>
        </w:rPr>
        <w:t xml:space="preserve">В 2021 году общий вклад строительной отрасли и жилищно-коммунального хозяйства в экономику с учетом смежных отраслей характеризуется следующими показателями:</w:t>
      </w:r>
    </w:p>
    <w:p>
      <w:pPr>
        <w:pStyle w:val="0"/>
        <w:spacing w:before="200" w:line-rule="auto"/>
        <w:ind w:firstLine="540"/>
        <w:jc w:val="both"/>
      </w:pPr>
      <w:r>
        <w:rPr>
          <w:sz w:val="20"/>
        </w:rPr>
        <w:t xml:space="preserve">вклад в валовой внутренний продукт - 14,4 трлн. рублей (11 процентов общего объема валового внутреннего продукта), а с учетом видов деятельности, относящихся к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21.03.2025) ------------ Недействующая редакция {КонсультантПлюс}">
        <w:r>
          <w:rPr>
            <w:sz w:val="20"/>
            <w:color w:val="0000ff"/>
          </w:rPr>
          <w:t xml:space="preserve">разделу L</w:t>
        </w:r>
      </w:hyperlink>
      <w:r>
        <w:rPr>
          <w:sz w:val="20"/>
        </w:rPr>
        <w:t xml:space="preserve"> "Деятельность по операциям с недвижимым имуществом" Общероссийского классификатора видов экономической деятельности (ОК 029-2014 (КДЕС Ред. 2), - 24,9 трлн. рублей (19 процентов общего объема валового внутреннего продукта);</w:t>
      </w:r>
    </w:p>
    <w:p>
      <w:pPr>
        <w:pStyle w:val="0"/>
        <w:spacing w:before="200" w:line-rule="auto"/>
        <w:ind w:firstLine="540"/>
        <w:jc w:val="both"/>
      </w:pPr>
      <w:r>
        <w:rPr>
          <w:sz w:val="20"/>
        </w:rPr>
        <w:t xml:space="preserve">общая выручка организаций строительной отрасли и жилищно-коммунального хозяйства - 25,6 трлн. рублей (20,7 процента общего объема выручки организаций по всем видам экономической деятельности);</w:t>
      </w:r>
    </w:p>
    <w:p>
      <w:pPr>
        <w:pStyle w:val="0"/>
        <w:spacing w:before="200" w:line-rule="auto"/>
        <w:ind w:firstLine="540"/>
        <w:jc w:val="both"/>
      </w:pPr>
      <w:r>
        <w:rPr>
          <w:sz w:val="20"/>
        </w:rPr>
        <w:t xml:space="preserve">суммарное поступление налогов в бюджет - 2,89 трлн. рублей (10,3 процента общего объема налогов), а с учетом видов деятельности, относящихся к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21.03.2025) ------------ Недействующая редакция {КонсультантПлюс}">
        <w:r>
          <w:rPr>
            <w:sz w:val="20"/>
            <w:color w:val="0000ff"/>
          </w:rPr>
          <w:t xml:space="preserve">разделу L</w:t>
        </w:r>
      </w:hyperlink>
      <w:r>
        <w:rPr>
          <w:sz w:val="20"/>
        </w:rPr>
        <w:t xml:space="preserve"> "Деятельность по операциям с недвижимым имуществом" Общероссийского классификатора видов экономической деятельности (ОК 029-2014 (КДЕС Ред. 2), - 3,75 трлн. рублей (13,3 процента общего объема налогов);</w:t>
      </w:r>
    </w:p>
    <w:p>
      <w:pPr>
        <w:pStyle w:val="0"/>
        <w:spacing w:before="200" w:line-rule="auto"/>
        <w:ind w:firstLine="540"/>
        <w:jc w:val="both"/>
      </w:pPr>
      <w:r>
        <w:rPr>
          <w:sz w:val="20"/>
        </w:rPr>
        <w:t xml:space="preserve">численность занятых в строительной отрасли и жилищно-коммунальном хозяйстве - 11,1 млн. человек (около 15 процентов общего количества занятых);</w:t>
      </w:r>
    </w:p>
    <w:p>
      <w:pPr>
        <w:pStyle w:val="0"/>
        <w:spacing w:before="200" w:line-rule="auto"/>
        <w:ind w:firstLine="540"/>
        <w:jc w:val="both"/>
      </w:pPr>
      <w:r>
        <w:rPr>
          <w:sz w:val="20"/>
        </w:rPr>
        <w:t xml:space="preserve">ввод жилых и нежилых зданий - 148,4 млн. кв. метров.</w:t>
      </w:r>
    </w:p>
    <w:p>
      <w:pPr>
        <w:pStyle w:val="0"/>
        <w:spacing w:before="200" w:line-rule="auto"/>
        <w:ind w:firstLine="540"/>
        <w:jc w:val="both"/>
      </w:pPr>
      <w:r>
        <w:rPr>
          <w:sz w:val="20"/>
        </w:rPr>
        <w:t xml:space="preserve">В 2021 году объемы жилищного строительства достигли рекордных значений за всю историю России - 92,6 млн. кв. метров, из них многоквартирные дома - 43,5 млн. кв. метров, индивидуальное жилищное строительство - 49,1 млн. кв. метров. Ввод жилья на одного человека в 2021 году составил в городах 0,6 кв. метра, в сельской местности - 0,73 кв. метра. Обеспеченность населения жильем по итогам 2021 года составила 27,8 кв. метра на человека.</w:t>
      </w:r>
    </w:p>
    <w:p>
      <w:pPr>
        <w:pStyle w:val="0"/>
        <w:spacing w:before="200" w:line-rule="auto"/>
        <w:ind w:firstLine="540"/>
        <w:jc w:val="both"/>
      </w:pPr>
      <w:r>
        <w:rPr>
          <w:sz w:val="20"/>
        </w:rPr>
        <w:t xml:space="preserve">Важными компонентами улучшения качества жизни граждан помимо строительства нового жилья и увеличения обеспеченности жильем являются повышение качества жилищно-коммунальных услуг, своевременное обновление и обеспечение жилищного фонда необходимой инфраструктурой. Так, сельский жилой фонд существенно уступает по уровню комфорта городскому (удельный вес общей площади жилых помещений, оборудованных всеми видами благоустройства, в сельских населенных пунктах составляет 39 процентов, в то время как в городах - 81,3 процента).</w:t>
      </w:r>
    </w:p>
    <w:p>
      <w:pPr>
        <w:pStyle w:val="0"/>
        <w:spacing w:before="200" w:line-rule="auto"/>
        <w:ind w:firstLine="540"/>
        <w:jc w:val="both"/>
      </w:pPr>
      <w:r>
        <w:rPr>
          <w:sz w:val="20"/>
        </w:rPr>
        <w:t xml:space="preserve">Решение этих задач является приоритетом развития сферы жилищно-коммунального хозяйства.</w:t>
      </w:r>
    </w:p>
    <w:p>
      <w:pPr>
        <w:pStyle w:val="0"/>
        <w:spacing w:before="200" w:line-rule="auto"/>
        <w:ind w:firstLine="540"/>
        <w:jc w:val="both"/>
      </w:pPr>
      <w:r>
        <w:rPr>
          <w:sz w:val="20"/>
        </w:rPr>
        <w:t xml:space="preserve">В Российской Федерации, по данным Федеральной службы государственной статистики, на конец 2021 года насчитывается более 1,62 млн. многоквартирных домов общей площадью жилых помещений около 2,5 млрд. кв. метров. В региональные программы капитального ремонта включено 723 тыс. многоквартирных домов общей площадью 2,7 млрд. кв. метров (с учетом вспомогательных и нежилых помещений), в которых проживают 89 млн. человек.</w:t>
      </w:r>
    </w:p>
    <w:p>
      <w:pPr>
        <w:pStyle w:val="0"/>
        <w:spacing w:before="200" w:line-rule="auto"/>
        <w:ind w:firstLine="540"/>
        <w:jc w:val="both"/>
      </w:pPr>
      <w:r>
        <w:rPr>
          <w:sz w:val="20"/>
        </w:rPr>
        <w:t xml:space="preserve">Система теплоснабжения Российской Федерации состоит из 50 тыс. локальных систем теплоснабжения и 18 тыс. обслуживающих предприятий. Общая протяженность тепловых сетей составляет 167 тыс. километров. В системах водоснабжения и водоотведения действует около 100 тыс. насосных станций водопровода, 60 тыс. очистных сооружений водопровода, 21 тыс. канализационных насосных станций, 12 тыс. очистных сооружений канализации. Протяженность сетей водоснабжения, по данным Федеральной службы государственной статистики, составляет 574 тыс. километров, сетей водоотведения - около 200 тыс. километров. Актуальной остается проблема ветшания объектов коммунального хозяйства. Более 40 процентов линейных объектов нуждается в обновлении, ежегодно около 3 процентов сетей теплоснабжения, водоснабжения и водоотведения признается аварийными, при этом обновляется не более 1 - 2 процентов.</w:t>
      </w:r>
    </w:p>
    <w:p>
      <w:pPr>
        <w:pStyle w:val="0"/>
        <w:spacing w:before="200" w:line-rule="auto"/>
        <w:ind w:firstLine="540"/>
        <w:jc w:val="both"/>
      </w:pPr>
      <w:r>
        <w:rPr>
          <w:sz w:val="20"/>
        </w:rPr>
        <w:t xml:space="preserve">В 2022 году наша страна столкнулась с новыми вызовами, требующими мобилизации ресурсов и выработки новых подходов к решению актуальных задач в экономике и социальной сфере в условиях внешнего давления и ограничений.</w:t>
      </w:r>
    </w:p>
    <w:p>
      <w:pPr>
        <w:pStyle w:val="0"/>
        <w:spacing w:before="200" w:line-rule="auto"/>
        <w:ind w:firstLine="540"/>
        <w:jc w:val="both"/>
      </w:pPr>
      <w:r>
        <w:rPr>
          <w:sz w:val="20"/>
        </w:rPr>
        <w:t xml:space="preserve">Развитие и поддержка строительной отрасли и жилищно-коммунального хозяйства будут способствовать импортозамещению, созданию новых рабочих мест, увеличению спроса на продукцию промышленных производств, а результаты, которые могут быть достигнуты в этих отраслях, окажут непосредственное влияние на улучшение качества жизни граждан, создание комфортной и безопасной среды, нового качества инфраструктуры для жизни, работы и отдыха человека - главного капитала нашей страны.</w:t>
      </w:r>
    </w:p>
    <w:p>
      <w:pPr>
        <w:pStyle w:val="0"/>
        <w:spacing w:before="200" w:line-rule="auto"/>
        <w:ind w:firstLine="540"/>
        <w:jc w:val="both"/>
      </w:pPr>
      <w:r>
        <w:rPr>
          <w:sz w:val="20"/>
        </w:rPr>
        <w:t xml:space="preserve">Стратегическая задача - реализовать потенциал строительного комплекса, что обеспечит основу развития каждого региона и страны в целом.</w:t>
      </w:r>
    </w:p>
    <w:p>
      <w:pPr>
        <w:pStyle w:val="0"/>
        <w:jc w:val="both"/>
      </w:pPr>
      <w:r>
        <w:rPr>
          <w:sz w:val="20"/>
        </w:rPr>
      </w:r>
    </w:p>
    <w:p>
      <w:pPr>
        <w:pStyle w:val="2"/>
        <w:outlineLvl w:val="1"/>
        <w:jc w:val="center"/>
      </w:pPr>
      <w:r>
        <w:rPr>
          <w:sz w:val="20"/>
        </w:rPr>
        <w:t xml:space="preserve">II. Анализ лучших мировых практик и тенденций</w:t>
      </w:r>
    </w:p>
    <w:p>
      <w:pPr>
        <w:pStyle w:val="0"/>
        <w:jc w:val="both"/>
      </w:pPr>
      <w:r>
        <w:rPr>
          <w:sz w:val="20"/>
        </w:rPr>
      </w:r>
    </w:p>
    <w:p>
      <w:pPr>
        <w:pStyle w:val="2"/>
        <w:outlineLvl w:val="2"/>
        <w:jc w:val="center"/>
      </w:pPr>
      <w:r>
        <w:rPr>
          <w:sz w:val="20"/>
        </w:rPr>
        <w:t xml:space="preserve">1. Изменение образа жизни и тенденций</w:t>
      </w:r>
    </w:p>
    <w:p>
      <w:pPr>
        <w:pStyle w:val="0"/>
        <w:jc w:val="both"/>
      </w:pPr>
      <w:r>
        <w:rPr>
          <w:sz w:val="20"/>
        </w:rPr>
      </w:r>
    </w:p>
    <w:p>
      <w:pPr>
        <w:pStyle w:val="0"/>
        <w:ind w:firstLine="540"/>
        <w:jc w:val="both"/>
      </w:pPr>
      <w:r>
        <w:rPr>
          <w:sz w:val="20"/>
        </w:rPr>
        <w:t xml:space="preserve">Жилье входит в число базовых потребностей человека, поэтому во всех развитых странах одна из важнейших задач государства - обеспечение граждан качественным и доступным жильем. Вместе с тем демографические изменения, ускорение темпов урбанизации, изменения в научно-технологическом развитии формируют глобальные вызовы для жилищной сферы.</w:t>
      </w:r>
    </w:p>
    <w:p>
      <w:pPr>
        <w:pStyle w:val="0"/>
        <w:spacing w:before="200" w:line-rule="auto"/>
        <w:ind w:firstLine="540"/>
        <w:jc w:val="both"/>
      </w:pPr>
      <w:r>
        <w:rPr>
          <w:sz w:val="20"/>
        </w:rPr>
        <w:t xml:space="preserve">Устойчивыми тенденциями в последние годы становятся популяризация здорового образа жизни и "зеленых решений", переход к совместному использованию товаров (экономика совместного потребления), рост спроса на впечатления и развлечения (креативная экономика). Растет спрос на формирование здоровой городской среды, внедрение приоритетов здоровья во все аспекты городского управления.</w:t>
      </w:r>
    </w:p>
    <w:p>
      <w:pPr>
        <w:pStyle w:val="0"/>
        <w:spacing w:before="200" w:line-rule="auto"/>
        <w:ind w:firstLine="540"/>
        <w:jc w:val="both"/>
      </w:pPr>
      <w:r>
        <w:rPr>
          <w:sz w:val="20"/>
        </w:rPr>
        <w:t xml:space="preserve">Смена потребительских предпочтений увеличивает запрос на культурно-досуговую инфраструктуру рядом с домом, на новые архитектурные проекты, сочетающие функциональность, эстетику и комфорт. По мере увеличения плотности застройки в городах растет ценность личного пространства, возможность работать и учиться из дома. Большое внимание уделяется проблемам экологии, сохранения комфортной и безопасной среды обитания для будущих поколений. В мировой строительной практике это нашло свое отражение в интенсивно развивающемся направлении "строительство "зеленых зданий".</w:t>
      </w:r>
    </w:p>
    <w:p>
      <w:pPr>
        <w:pStyle w:val="0"/>
        <w:jc w:val="both"/>
      </w:pPr>
      <w:r>
        <w:rPr>
          <w:sz w:val="20"/>
        </w:rPr>
      </w:r>
    </w:p>
    <w:p>
      <w:pPr>
        <w:pStyle w:val="2"/>
        <w:outlineLvl w:val="2"/>
        <w:jc w:val="center"/>
      </w:pPr>
      <w:r>
        <w:rPr>
          <w:sz w:val="20"/>
        </w:rPr>
        <w:t xml:space="preserve">2. Трансформации в обществе под влиянием новых технологий</w:t>
      </w:r>
    </w:p>
    <w:p>
      <w:pPr>
        <w:pStyle w:val="0"/>
        <w:jc w:val="both"/>
      </w:pPr>
      <w:r>
        <w:rPr>
          <w:sz w:val="20"/>
        </w:rPr>
      </w:r>
    </w:p>
    <w:p>
      <w:pPr>
        <w:pStyle w:val="0"/>
        <w:ind w:firstLine="540"/>
        <w:jc w:val="both"/>
      </w:pPr>
      <w:r>
        <w:rPr>
          <w:sz w:val="20"/>
        </w:rPr>
        <w:t xml:space="preserve">В 2020 - 2021 годах Российская Федерация, как и весь мир, оказалась перед лицом глобального вызова, связанного с распространением новой коронавирусной инфекции COVID-19. В этот период особенно остро встали вопросы жилищного комфорта и необходимости осуществления трудовой деятельности в условиях самоизоляции, а также наличия развитой инфраструктуры в шаговой доступности.</w:t>
      </w:r>
    </w:p>
    <w:p>
      <w:pPr>
        <w:pStyle w:val="0"/>
        <w:spacing w:before="200" w:line-rule="auto"/>
        <w:ind w:firstLine="540"/>
        <w:jc w:val="both"/>
      </w:pPr>
      <w:r>
        <w:rPr>
          <w:sz w:val="20"/>
        </w:rPr>
        <w:t xml:space="preserve">В этой связи в мире сформировалось направление на восстановление экономики через развитие инфраструктуры, снижение транзакционных издержек путем использования технологических и цифровых решений, в том числе на основе искусственного интеллекта, распространение формата "удаленной" работы.</w:t>
      </w:r>
    </w:p>
    <w:p>
      <w:pPr>
        <w:pStyle w:val="0"/>
        <w:jc w:val="both"/>
      </w:pPr>
      <w:r>
        <w:rPr>
          <w:sz w:val="20"/>
        </w:rPr>
      </w:r>
    </w:p>
    <w:p>
      <w:pPr>
        <w:pStyle w:val="2"/>
        <w:outlineLvl w:val="2"/>
        <w:jc w:val="center"/>
      </w:pPr>
      <w:r>
        <w:rPr>
          <w:sz w:val="20"/>
        </w:rPr>
        <w:t xml:space="preserve">3. Формирование комфортной городской среды</w:t>
      </w:r>
    </w:p>
    <w:p>
      <w:pPr>
        <w:pStyle w:val="0"/>
        <w:jc w:val="both"/>
      </w:pPr>
      <w:r>
        <w:rPr>
          <w:sz w:val="20"/>
        </w:rPr>
      </w:r>
    </w:p>
    <w:p>
      <w:pPr>
        <w:pStyle w:val="0"/>
        <w:ind w:firstLine="540"/>
        <w:jc w:val="both"/>
      </w:pPr>
      <w:r>
        <w:rPr>
          <w:sz w:val="20"/>
        </w:rPr>
        <w:t xml:space="preserve">Лучшие мировые практики работы с городской средой направлены на решение социальных и экономических задач, они являются частью стратегий, направленных на обеспечение конкурентоспособности городов и сельских поселений и поддержание их устойчивого развития.</w:t>
      </w:r>
    </w:p>
    <w:p>
      <w:pPr>
        <w:pStyle w:val="0"/>
        <w:spacing w:before="200" w:line-rule="auto"/>
        <w:ind w:firstLine="540"/>
        <w:jc w:val="both"/>
      </w:pPr>
      <w:r>
        <w:rPr>
          <w:sz w:val="20"/>
        </w:rPr>
        <w:t xml:space="preserve">Особое значение в настоящее время приобретают комплексные практики работы с городской средой, направленные на сохранение здоровья жителей, - от теории "пешеходного города", который побуждает человека к движению, удобен для жизни и предпринимательской деятельности, до "здоровых улиц", не только эргономичных, безопасных и экологичных, но также обеспечивающих психологический комфорт.</w:t>
      </w:r>
    </w:p>
    <w:p>
      <w:pPr>
        <w:pStyle w:val="0"/>
        <w:spacing w:before="200" w:line-rule="auto"/>
        <w:ind w:firstLine="540"/>
        <w:jc w:val="both"/>
      </w:pPr>
      <w:r>
        <w:rPr>
          <w:sz w:val="20"/>
        </w:rPr>
        <w:t xml:space="preserve">Не менее важным направлением является реализация проектов по созданию комфортной городской среды с учетом необходимости адаптации городов к изменениям климата. Сегодня работа с зелеными территориями города нацелена не только на обеспечение комфорта для жителей, но и на решение задач по сбережению энергии, экономному расходованию ресурсов, профилактике стихийных бедствий.</w:t>
      </w:r>
    </w:p>
    <w:p>
      <w:pPr>
        <w:pStyle w:val="0"/>
        <w:jc w:val="both"/>
      </w:pPr>
      <w:r>
        <w:rPr>
          <w:sz w:val="20"/>
        </w:rPr>
      </w:r>
    </w:p>
    <w:p>
      <w:pPr>
        <w:pStyle w:val="2"/>
        <w:outlineLvl w:val="2"/>
        <w:jc w:val="center"/>
      </w:pPr>
      <w:r>
        <w:rPr>
          <w:sz w:val="20"/>
        </w:rPr>
        <w:t xml:space="preserve">4. Жилищная политика и жилищно-коммунальное хозяйство</w:t>
      </w:r>
    </w:p>
    <w:p>
      <w:pPr>
        <w:pStyle w:val="0"/>
        <w:jc w:val="both"/>
      </w:pPr>
      <w:r>
        <w:rPr>
          <w:sz w:val="20"/>
        </w:rPr>
      </w:r>
    </w:p>
    <w:p>
      <w:pPr>
        <w:pStyle w:val="0"/>
        <w:ind w:firstLine="540"/>
        <w:jc w:val="both"/>
      </w:pPr>
      <w:r>
        <w:rPr>
          <w:sz w:val="20"/>
        </w:rPr>
        <w:t xml:space="preserve">Актуальными мировыми трендами сегодня также являются декарбонизация сектора жилищно-коммунального хозяйства, создание условий для реализации климатических проектов с привлечением частных инвестиций, а также оценка углеродного следа реализуемых проектов и создание рынка углеродных единиц.</w:t>
      </w:r>
    </w:p>
    <w:p>
      <w:pPr>
        <w:pStyle w:val="0"/>
        <w:spacing w:before="200" w:line-rule="auto"/>
        <w:ind w:firstLine="540"/>
        <w:jc w:val="both"/>
      </w:pPr>
      <w:r>
        <w:rPr>
          <w:sz w:val="20"/>
        </w:rPr>
        <w:t xml:space="preserve">Учитывая, что основную часть жизненного цикла жилого дома занимает период эксплуатации, особую актуальность имеет проблема своевременного обновления жилищного фонда за счет проведения капитального ремонта.</w:t>
      </w:r>
    </w:p>
    <w:p>
      <w:pPr>
        <w:pStyle w:val="0"/>
        <w:spacing w:before="200" w:line-rule="auto"/>
        <w:ind w:firstLine="540"/>
        <w:jc w:val="both"/>
      </w:pPr>
      <w:r>
        <w:rPr>
          <w:sz w:val="20"/>
        </w:rPr>
        <w:t xml:space="preserve">В развитых странах сложилась система энергоэффективного капитального ремонта, важными элементами которой являются специализированные структуры, отвечающие за экспертную (техническую) оценку и реализацию проектов энергоэффективного капитального ремонта, а также механизмы финансирования таких проектов.</w:t>
      </w:r>
    </w:p>
    <w:p>
      <w:pPr>
        <w:pStyle w:val="0"/>
        <w:jc w:val="both"/>
      </w:pPr>
      <w:r>
        <w:rPr>
          <w:sz w:val="20"/>
        </w:rPr>
      </w:r>
    </w:p>
    <w:p>
      <w:pPr>
        <w:pStyle w:val="2"/>
        <w:outlineLvl w:val="1"/>
        <w:jc w:val="center"/>
      </w:pPr>
      <w:r>
        <w:rPr>
          <w:sz w:val="20"/>
        </w:rPr>
        <w:t xml:space="preserve">III. Новая градостроительная политика</w:t>
      </w:r>
    </w:p>
    <w:p>
      <w:pPr>
        <w:pStyle w:val="0"/>
        <w:jc w:val="both"/>
      </w:pPr>
      <w:r>
        <w:rPr>
          <w:sz w:val="20"/>
        </w:rPr>
      </w:r>
    </w:p>
    <w:p>
      <w:pPr>
        <w:pStyle w:val="0"/>
        <w:ind w:firstLine="540"/>
        <w:jc w:val="both"/>
      </w:pPr>
      <w:r>
        <w:rPr>
          <w:sz w:val="20"/>
        </w:rPr>
        <w:t xml:space="preserve">В ближайшее десятилетие необходимо создать основу для сбалансированного развития страны. Важнейшим этапом в решении этой задачи является оптимизация документов и процедур территориального планирования, градостроительного и социально-экономического развития территорий, установление возможности проведения единой градостроительной, тарифной и транспортной политики в городских агломерациях и опорных населенных пунктах, в том числе на межмуниципальном уровне, а также использование единых нормативов по обеспечению инфраструктурой населенных пунктов, учитывая в том числе важность развития сельских поселений, малых и средних городов.</w:t>
      </w:r>
    </w:p>
    <w:p>
      <w:pPr>
        <w:pStyle w:val="0"/>
        <w:spacing w:before="200" w:line-rule="auto"/>
        <w:ind w:firstLine="540"/>
        <w:jc w:val="both"/>
      </w:pPr>
      <w:r>
        <w:rPr>
          <w:sz w:val="20"/>
        </w:rPr>
        <w:t xml:space="preserve">В связи с этим одним из ключевых направлений Стратегии определено формирование новой градостроительной политики.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документы территориального планирования, градостроительного и социально-экономического развития в настоящее время недостаточно синхронизированы между собой. Процессы их подготовки и актуализации не упорядочены, занимают длительное время;</w:t>
      </w:r>
    </w:p>
    <w:p>
      <w:pPr>
        <w:pStyle w:val="0"/>
        <w:spacing w:before="200" w:line-rule="auto"/>
        <w:ind w:firstLine="540"/>
        <w:jc w:val="both"/>
      </w:pPr>
      <w:r>
        <w:rPr>
          <w:sz w:val="20"/>
        </w:rPr>
        <w:t xml:space="preserve">существующие сроки принятия управленческих решений обуславливают возникновение дисбаланса в развитии территорий;</w:t>
      </w:r>
    </w:p>
    <w:p>
      <w:pPr>
        <w:pStyle w:val="0"/>
        <w:spacing w:before="200" w:line-rule="auto"/>
        <w:ind w:firstLine="540"/>
        <w:jc w:val="both"/>
      </w:pPr>
      <w:r>
        <w:rPr>
          <w:sz w:val="20"/>
        </w:rPr>
        <w:t xml:space="preserve">застройка осуществляется в условиях достигнутого предела экстенсивного развития, увеличивается нагрузка на существующую инфраструктуру, что приводит к дефициту социально значимых объектов и ухудшению качества городской среды.</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условий для проведения единой градостроительной, тарифной и транспортной политики в городских агломерациях и опорных населенных пунктах, в том числе на межмуниципальном уровне;</w:t>
      </w:r>
    </w:p>
    <w:p>
      <w:pPr>
        <w:pStyle w:val="0"/>
        <w:spacing w:before="200" w:line-rule="auto"/>
        <w:ind w:firstLine="540"/>
        <w:jc w:val="both"/>
      </w:pPr>
      <w:r>
        <w:rPr>
          <w:sz w:val="20"/>
        </w:rPr>
        <w:t xml:space="preserve">упрощение процесса территориального планирования, в том числе посредством унификации требований к подготовке документов, отказа от бумажных форм, перевода документов и процедур их согласования в электронный вид;</w:t>
      </w:r>
    </w:p>
    <w:p>
      <w:pPr>
        <w:pStyle w:val="0"/>
        <w:spacing w:before="200" w:line-rule="auto"/>
        <w:ind w:firstLine="540"/>
        <w:jc w:val="both"/>
      </w:pPr>
      <w:r>
        <w:rPr>
          <w:sz w:val="20"/>
        </w:rPr>
        <w:t xml:space="preserve">объединение генерального плана и правил землепользования и застройки в единый документ, определяющий основные подходы к градостроительному развитию муниципальных образований;</w:t>
      </w:r>
    </w:p>
    <w:p>
      <w:pPr>
        <w:pStyle w:val="0"/>
        <w:spacing w:before="200" w:line-rule="auto"/>
        <w:ind w:firstLine="540"/>
        <w:jc w:val="both"/>
      </w:pPr>
      <w:r>
        <w:rPr>
          <w:sz w:val="20"/>
        </w:rPr>
        <w:t xml:space="preserve">развитие единой электронной картографической основы, обеспечивающей систематизацию пространственных данных;</w:t>
      </w:r>
    </w:p>
    <w:p>
      <w:pPr>
        <w:pStyle w:val="0"/>
        <w:spacing w:before="200" w:line-rule="auto"/>
        <w:ind w:firstLine="540"/>
        <w:jc w:val="both"/>
      </w:pPr>
      <w:r>
        <w:rPr>
          <w:sz w:val="20"/>
        </w:rPr>
        <w:t xml:space="preserve">формирование в рамках реализации градостроительной политики стимулов для проведения импортозамещения и локализации производств строительных материалов, машин и механизмов, закупки современных технологий в дружественных странах с обеспечением их применения на местах;</w:t>
      </w:r>
    </w:p>
    <w:p>
      <w:pPr>
        <w:pStyle w:val="0"/>
        <w:spacing w:before="200" w:line-rule="auto"/>
        <w:ind w:firstLine="540"/>
        <w:jc w:val="both"/>
      </w:pPr>
      <w:r>
        <w:rPr>
          <w:sz w:val="20"/>
        </w:rPr>
        <w:t xml:space="preserve">снятие в рамках реализации градостроительной политики ограничений для реализации крупных инфраструктурных проектов, повышающих связанность территории страны и обеспечивающих выстроенные логистические коридоры, ускорение перемещения товаров и людей;</w:t>
      </w:r>
    </w:p>
    <w:p>
      <w:pPr>
        <w:pStyle w:val="0"/>
        <w:spacing w:before="200" w:line-rule="auto"/>
        <w:ind w:firstLine="540"/>
        <w:jc w:val="both"/>
      </w:pPr>
      <w:r>
        <w:rPr>
          <w:sz w:val="20"/>
        </w:rPr>
        <w:t xml:space="preserve">создание условий для комфортного проживания населения на сельских территориях и в малых городах, в том числе путем развития межмуниципальных проектов и универсальных центров общественных коммуникаций.</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градостроительной политики с учетом формируемых планов социально-экономического развития ключевых городских агломераций и опорных населенных пунктов, определения ключевых центров экономического роста на территории страны и обеспечения их сбалансированного развития, изменения логистических цепочек в экономике исходя из сложившейся политической и макроэкономической ситуации;</w:t>
      </w:r>
    </w:p>
    <w:p>
      <w:pPr>
        <w:pStyle w:val="0"/>
        <w:spacing w:before="200" w:line-rule="auto"/>
        <w:ind w:firstLine="540"/>
        <w:jc w:val="both"/>
      </w:pPr>
      <w:r>
        <w:rPr>
          <w:sz w:val="20"/>
        </w:rPr>
        <w:t xml:space="preserve">сокращение количества документов, необходимых для реализации градостроительной политики, снятие избыточных ограничений для строительства;</w:t>
      </w:r>
    </w:p>
    <w:p>
      <w:pPr>
        <w:pStyle w:val="0"/>
        <w:spacing w:before="200" w:line-rule="auto"/>
        <w:ind w:firstLine="540"/>
        <w:jc w:val="both"/>
      </w:pPr>
      <w:r>
        <w:rPr>
          <w:sz w:val="20"/>
        </w:rPr>
        <w:t xml:space="preserve">упрощение порядка установления зон с особыми условиями использования территорий, сокращение количества видов таких зон и ограничений на осуществление хозяйственной деятельности в таких зонах;</w:t>
      </w:r>
    </w:p>
    <w:p>
      <w:pPr>
        <w:pStyle w:val="0"/>
        <w:spacing w:before="200" w:line-rule="auto"/>
        <w:ind w:firstLine="540"/>
        <w:jc w:val="both"/>
      </w:pPr>
      <w:r>
        <w:rPr>
          <w:sz w:val="20"/>
        </w:rPr>
        <w:t xml:space="preserve">развитие Единого института пространственного планирования, который будет обеспечивать информационно-методологическую, экспертную поддержку в вопросах формирования и развития городских агломераций, принимать участие в подготовке документов территориального планирования и иных документов, связанных с осуществлением градостроительной деятельности;</w:t>
      </w:r>
    </w:p>
    <w:p>
      <w:pPr>
        <w:pStyle w:val="0"/>
        <w:spacing w:before="200" w:line-rule="auto"/>
        <w:ind w:firstLine="540"/>
        <w:jc w:val="both"/>
      </w:pPr>
      <w:r>
        <w:rPr>
          <w:sz w:val="20"/>
        </w:rPr>
        <w:t xml:space="preserve">развитие национальной системы пространственных данных;</w:t>
      </w:r>
    </w:p>
    <w:p>
      <w:pPr>
        <w:pStyle w:val="0"/>
        <w:spacing w:before="200" w:line-rule="auto"/>
        <w:ind w:firstLine="540"/>
        <w:jc w:val="both"/>
      </w:pPr>
      <w:r>
        <w:rPr>
          <w:sz w:val="20"/>
        </w:rPr>
        <w:t xml:space="preserve">снятие в рамках реализации градостроительной политики ограничений по обеспечению необходимой инфраструктурой объектов капитального строительства в рамках реализации инвестиционных проектов с повышением эффективности использования имущества, находящегося в государственной и муниципальной собственности;</w:t>
      </w:r>
    </w:p>
    <w:p>
      <w:pPr>
        <w:pStyle w:val="0"/>
        <w:spacing w:before="200" w:line-rule="auto"/>
        <w:ind w:firstLine="540"/>
        <w:jc w:val="both"/>
      </w:pPr>
      <w:r>
        <w:rPr>
          <w:sz w:val="20"/>
        </w:rPr>
        <w:t xml:space="preserve">формирование в рамках реализации градостроительной политики консолидированной потребности строительной отрасли в ресурсах, создание условий для локализации производства и импортозамещения в строительстве.</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сформирована система документов, обеспечивающих реализацию единой градостроительной политики в городских агломерациях в соответствии с инициативой социально-экономического развития Российской Федерации "Города больших возможностей и возрождение малых форм расселения";</w:t>
      </w:r>
    </w:p>
    <w:p>
      <w:pPr>
        <w:pStyle w:val="0"/>
        <w:spacing w:before="200" w:line-rule="auto"/>
        <w:ind w:firstLine="540"/>
        <w:jc w:val="both"/>
      </w:pPr>
      <w:r>
        <w:rPr>
          <w:sz w:val="20"/>
        </w:rPr>
        <w:t xml:space="preserve">градостроительная политика реализуется с учетом сформированных планов социально-экономического развития ключевых городских агломераций и опорных населенных пунктов;</w:t>
      </w:r>
    </w:p>
    <w:p>
      <w:pPr>
        <w:pStyle w:val="0"/>
        <w:spacing w:before="200" w:line-rule="auto"/>
        <w:ind w:firstLine="540"/>
        <w:jc w:val="both"/>
      </w:pPr>
      <w:r>
        <w:rPr>
          <w:sz w:val="20"/>
        </w:rPr>
        <w:t xml:space="preserve">повышена эффективность и сокращены сроки принятия градостроительных решений за счет сокращения количества документов, необходимых для реализации градостроительной политики, а также развития национальной системы пространственных данных;</w:t>
      </w:r>
    </w:p>
    <w:p>
      <w:pPr>
        <w:pStyle w:val="0"/>
        <w:spacing w:before="200" w:line-rule="auto"/>
        <w:ind w:firstLine="540"/>
        <w:jc w:val="both"/>
      </w:pPr>
      <w:r>
        <w:rPr>
          <w:sz w:val="20"/>
        </w:rPr>
        <w:t xml:space="preserve">сформирована консолидированная потребность в ресурсах, созданы условия для локализации производства и импортозамещения в строительстве с гарантированным объемом спроса;</w:t>
      </w:r>
    </w:p>
    <w:p>
      <w:pPr>
        <w:pStyle w:val="0"/>
        <w:spacing w:before="200" w:line-rule="auto"/>
        <w:ind w:firstLine="540"/>
        <w:jc w:val="both"/>
      </w:pPr>
      <w:r>
        <w:rPr>
          <w:sz w:val="20"/>
        </w:rPr>
        <w:t xml:space="preserve">определены границы городских агломераций;</w:t>
      </w:r>
    </w:p>
    <w:p>
      <w:pPr>
        <w:pStyle w:val="0"/>
        <w:spacing w:before="200" w:line-rule="auto"/>
        <w:ind w:firstLine="540"/>
        <w:jc w:val="both"/>
      </w:pPr>
      <w:r>
        <w:rPr>
          <w:sz w:val="20"/>
        </w:rPr>
        <w:t xml:space="preserve">повышена инвестиционная привлекательность городских агломераций, сняты ограничения по обеспечению необходимой инфраструктурой объектов, создаваемых в рамках реализации инвестиционных проектов, повышена эффективность использования имущества, находящегося в государственной и муниципальной собственности;</w:t>
      </w:r>
    </w:p>
    <w:p>
      <w:pPr>
        <w:pStyle w:val="0"/>
        <w:spacing w:before="200" w:line-rule="auto"/>
        <w:ind w:firstLine="540"/>
        <w:jc w:val="both"/>
      </w:pPr>
      <w:r>
        <w:rPr>
          <w:sz w:val="20"/>
        </w:rPr>
        <w:t xml:space="preserve">создана аналитическая система поддержки управленческих решений и мониторинга процессов планирования и реализации градостроительной политики;</w:t>
      </w:r>
    </w:p>
    <w:p>
      <w:pPr>
        <w:pStyle w:val="0"/>
        <w:spacing w:before="200" w:line-rule="auto"/>
        <w:ind w:firstLine="540"/>
        <w:jc w:val="both"/>
      </w:pPr>
      <w:r>
        <w:rPr>
          <w:sz w:val="20"/>
        </w:rPr>
        <w:t xml:space="preserve">увеличен объем вовлекаемых в оборот земельных участков для целей жилищного строительства;</w:t>
      </w:r>
    </w:p>
    <w:p>
      <w:pPr>
        <w:pStyle w:val="0"/>
        <w:spacing w:before="200" w:line-rule="auto"/>
        <w:ind w:firstLine="540"/>
        <w:jc w:val="both"/>
      </w:pPr>
      <w:r>
        <w:rPr>
          <w:sz w:val="20"/>
        </w:rPr>
        <w:t xml:space="preserve">принято к 2024 году не менее 500, а к 2030 году не менее 1000 решений о комплексном развитии территорий.</w:t>
      </w:r>
    </w:p>
    <w:p>
      <w:pPr>
        <w:pStyle w:val="0"/>
        <w:jc w:val="both"/>
      </w:pPr>
      <w:r>
        <w:rPr>
          <w:sz w:val="20"/>
        </w:rPr>
      </w:r>
    </w:p>
    <w:p>
      <w:pPr>
        <w:pStyle w:val="2"/>
        <w:outlineLvl w:val="1"/>
        <w:jc w:val="center"/>
      </w:pPr>
      <w:r>
        <w:rPr>
          <w:sz w:val="20"/>
        </w:rPr>
        <w:t xml:space="preserve">IV. Новые жилищные возможности</w:t>
      </w:r>
    </w:p>
    <w:p>
      <w:pPr>
        <w:pStyle w:val="0"/>
        <w:jc w:val="both"/>
      </w:pPr>
      <w:r>
        <w:rPr>
          <w:sz w:val="20"/>
        </w:rPr>
      </w:r>
    </w:p>
    <w:p>
      <w:pPr>
        <w:pStyle w:val="0"/>
        <w:ind w:firstLine="540"/>
        <w:jc w:val="both"/>
      </w:pPr>
      <w:r>
        <w:rPr>
          <w:sz w:val="20"/>
        </w:rPr>
        <w:t xml:space="preserve">Общая площадь жилищного фонда в Российской Федерации, по данным Федеральной службы государственной статистики, на конец 2021 года составила 4,04 млрд. кв. метров, из которых площадь жилых помещений в многоквартирных домах - 2,5 млрд. кв. метров. На одного человека приходится 27,8 кв. метра.</w:t>
      </w:r>
    </w:p>
    <w:p>
      <w:pPr>
        <w:pStyle w:val="0"/>
        <w:spacing w:before="200" w:line-rule="auto"/>
        <w:ind w:firstLine="540"/>
        <w:jc w:val="both"/>
      </w:pPr>
      <w:r>
        <w:rPr>
          <w:sz w:val="20"/>
        </w:rPr>
        <w:t xml:space="preserve">Совокупный объем ввода жилья на территории Российской Федерации в период с 2011 по 2021 годы составил 859,9 млн. кв. метров. По итогам 2021 года объем ввода жилья составил 92,6 млн. кв. метров, в том числе многоквартирных домов 43,5 млн. кв. метров, индивидуальных жилых домов 49,1 млн. кв. метров.</w:t>
      </w:r>
    </w:p>
    <w:p>
      <w:pPr>
        <w:pStyle w:val="0"/>
        <w:spacing w:before="200" w:line-rule="auto"/>
        <w:ind w:firstLine="540"/>
        <w:jc w:val="both"/>
      </w:pPr>
      <w:r>
        <w:rPr>
          <w:sz w:val="20"/>
        </w:rPr>
        <w:t xml:space="preserve">В советский период осуществлялось преимущественно строительство многоквартирного жилья, доля индивидуальных жилых домов в общем объеме вводимого жилья не превышала 12 процентов. Рост объемов индивидуального жилищного строительства начался в 1990-х годах и в 2021 году достиг максимума в 53 процента. Рост доли индивидуального жилья в общем объеме вводимого жилья обусловлен повышением его привлекательности для населения и упрощением административных процедур, связанных со строительством и постановкой на государственный кадастровый учет объектов индивидуального жилищного строительства.</w:t>
      </w:r>
    </w:p>
    <w:p>
      <w:pPr>
        <w:pStyle w:val="0"/>
        <w:spacing w:before="200" w:line-rule="auto"/>
        <w:ind w:firstLine="540"/>
        <w:jc w:val="both"/>
      </w:pPr>
      <w:r>
        <w:rPr>
          <w:sz w:val="20"/>
        </w:rPr>
        <w:t xml:space="preserve">В целях полного исключения возможности появления новых обманутых дольщиков в 2020 году завершена масштабная реформа законодательства Российской Федерации в сфере долевого строительства и обеспечен переход на проектное финансирование с использованием счетов эскроу. На конец 2021 года почти 74 млн. кв. метров жилья (около 77 процентов всего жилья, строящегося на основе долевого участия) строилось с использованием счетов эскроу, а объем введенного жилья, построенного с использованием счетов эскроу, в 2021 году увеличился по сравнению с 2020 годом в 3 раза и составил 16 млн. кв. метров (2132 дома).</w:t>
      </w:r>
    </w:p>
    <w:p>
      <w:pPr>
        <w:pStyle w:val="0"/>
        <w:spacing w:before="200" w:line-rule="auto"/>
        <w:ind w:firstLine="540"/>
        <w:jc w:val="both"/>
      </w:pPr>
      <w:r>
        <w:rPr>
          <w:sz w:val="20"/>
        </w:rPr>
        <w:t xml:space="preserve">Стратегическими целями являются:</w:t>
      </w:r>
    </w:p>
    <w:p>
      <w:pPr>
        <w:pStyle w:val="0"/>
        <w:spacing w:before="200" w:line-rule="auto"/>
        <w:ind w:firstLine="540"/>
        <w:jc w:val="both"/>
      </w:pPr>
      <w:r>
        <w:rPr>
          <w:sz w:val="20"/>
        </w:rPr>
        <w:t xml:space="preserve">обеспечение доступности приобретения, строительства или аренды жилья не менее чем двум третям (67 процентов) граждан страны;</w:t>
      </w:r>
    </w:p>
    <w:p>
      <w:pPr>
        <w:pStyle w:val="0"/>
        <w:spacing w:before="200" w:line-rule="auto"/>
        <w:ind w:firstLine="540"/>
        <w:jc w:val="both"/>
      </w:pPr>
      <w:r>
        <w:rPr>
          <w:sz w:val="20"/>
        </w:rPr>
        <w:t xml:space="preserve">ввод более 1 млрд. кв. метров жилья (за период 2021 - 2030 годов), в том числе многоквартирных домов не менее 550 млн. кв. метров, индивидуальных жилых домов не менее 450 млн. кв. метров, и формирование основы для дальнейшего развития жилищного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около двух третей граждан хотят улучшить жилищные условия, однако финансовые возможности и инструменты для приобретения жилья ограничены;</w:t>
      </w:r>
    </w:p>
    <w:p>
      <w:pPr>
        <w:pStyle w:val="0"/>
        <w:spacing w:before="200" w:line-rule="auto"/>
        <w:ind w:firstLine="540"/>
        <w:jc w:val="both"/>
      </w:pPr>
      <w:r>
        <w:rPr>
          <w:sz w:val="20"/>
        </w:rPr>
        <w:t xml:space="preserve">несоответствие жилищных условий и городской инфраструктуры растущим запросам граждан относительно уровня комфорта, экологичности и безопасности жилья;</w:t>
      </w:r>
    </w:p>
    <w:p>
      <w:pPr>
        <w:pStyle w:val="0"/>
        <w:spacing w:before="200" w:line-rule="auto"/>
        <w:ind w:firstLine="540"/>
        <w:jc w:val="both"/>
      </w:pPr>
      <w:r>
        <w:rPr>
          <w:sz w:val="20"/>
        </w:rPr>
        <w:t xml:space="preserve">неэффективное использование территорий, на которых возможно жилищное строительство;</w:t>
      </w:r>
    </w:p>
    <w:p>
      <w:pPr>
        <w:pStyle w:val="0"/>
        <w:spacing w:before="200" w:line-rule="auto"/>
        <w:ind w:firstLine="540"/>
        <w:jc w:val="both"/>
      </w:pPr>
      <w:r>
        <w:rPr>
          <w:sz w:val="20"/>
        </w:rPr>
        <w:t xml:space="preserve">сложности с изъятием неэффективно используемых земельных участков, отсутствие свободных участков под застройку в центральных районах городов;</w:t>
      </w:r>
    </w:p>
    <w:p>
      <w:pPr>
        <w:pStyle w:val="0"/>
        <w:spacing w:before="200" w:line-rule="auto"/>
        <w:ind w:firstLine="540"/>
        <w:jc w:val="both"/>
      </w:pPr>
      <w:r>
        <w:rPr>
          <w:sz w:val="20"/>
        </w:rPr>
        <w:t xml:space="preserve">монополизированный рынок обеспечения застраиваемых территорий объектами инженерной, транспортной и социальной инфраструктур, в застроенных районах в основном отсутствуют резервы мощностей для нового строительства, на вновь застраиваемых территориях наблюдается полное отсутствие коммуникаций, сроки ввода в эксплуатацию объектов инфраструктуры не синхронизированы со сроками строительства домов;</w:t>
      </w:r>
    </w:p>
    <w:p>
      <w:pPr>
        <w:pStyle w:val="0"/>
        <w:spacing w:before="200" w:line-rule="auto"/>
        <w:ind w:firstLine="540"/>
        <w:jc w:val="both"/>
      </w:pPr>
      <w:r>
        <w:rPr>
          <w:sz w:val="20"/>
        </w:rPr>
        <w:t xml:space="preserve">действующие меры поддержки спроса и предложения недостаточно эффективны в отдельных регионах страны в связи со значительными различиями в структуре себестоимости жилищного строительства, инфраструктурной обеспеченности территорий и уровне платежеспособности населения;</w:t>
      </w:r>
    </w:p>
    <w:p>
      <w:pPr>
        <w:pStyle w:val="0"/>
        <w:spacing w:before="200" w:line-rule="auto"/>
        <w:ind w:firstLine="540"/>
        <w:jc w:val="both"/>
      </w:pPr>
      <w:r>
        <w:rPr>
          <w:sz w:val="20"/>
        </w:rPr>
        <w:t xml:space="preserve">для обеспечения строительства в 2021 - 2030 годах 1 млрд. кв. метров жилья необходимо около 86 трлн. рублей. Достижение национальной цели по увеличению объема жилищного строительства не менее чем до 120 млн. кв. метров в год невозможно без обеспечения устойчивого роста реальных располагаемых денежных доходов населения в соответствии с базовым сценарием социально-экономического развития Российской Федерации (на 25 процентов за 2021 - 2030 годы).</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приоритетное применение механизмов комплексного развития территорий;</w:t>
      </w:r>
    </w:p>
    <w:p>
      <w:pPr>
        <w:pStyle w:val="0"/>
        <w:spacing w:before="200" w:line-rule="auto"/>
        <w:ind w:firstLine="540"/>
        <w:jc w:val="both"/>
      </w:pPr>
      <w:r>
        <w:rPr>
          <w:sz w:val="20"/>
        </w:rPr>
        <w:t xml:space="preserve">осуществление эффективного территориального планирования и градостроительного зонирования в целях сбалансированного пространственного развития городских агломераций и возрождения малых форм расселения;</w:t>
      </w:r>
    </w:p>
    <w:p>
      <w:pPr>
        <w:pStyle w:val="0"/>
        <w:spacing w:before="200" w:line-rule="auto"/>
        <w:ind w:firstLine="540"/>
        <w:jc w:val="both"/>
      </w:pPr>
      <w:r>
        <w:rPr>
          <w:sz w:val="20"/>
        </w:rPr>
        <w:t xml:space="preserve">синхронизация инвестиционных программ естественных монополий с планами жилищного строительства;</w:t>
      </w:r>
    </w:p>
    <w:p>
      <w:pPr>
        <w:pStyle w:val="0"/>
        <w:spacing w:before="200" w:line-rule="auto"/>
        <w:ind w:firstLine="540"/>
        <w:jc w:val="both"/>
      </w:pPr>
      <w:r>
        <w:rPr>
          <w:sz w:val="20"/>
        </w:rPr>
        <w:t xml:space="preserve">обеспечение территорий под жилищное строительство необходимой социальной, коммунальной, транспортной и иной инфраструктурой, в том числе с использованием финансовых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вовлечение в оборот земельных участков в объеме, необходимом для достижения национальной цели по увеличению объема жилищного строительства не менее чем до 120 млн. кв. метров в год;</w:t>
      </w:r>
    </w:p>
    <w:p>
      <w:pPr>
        <w:pStyle w:val="0"/>
        <w:spacing w:before="200" w:line-rule="auto"/>
        <w:ind w:firstLine="540"/>
        <w:jc w:val="both"/>
      </w:pPr>
      <w:r>
        <w:rPr>
          <w:sz w:val="20"/>
        </w:rPr>
        <w:t xml:space="preserve">развитие рынка ипотечного кредитования, в том числе за счет льготных ипотечных программ, направленных на поддержку отдельных категорий граждан (семьи с детьми, молодые профессионалы и др.);</w:t>
      </w:r>
    </w:p>
    <w:p>
      <w:pPr>
        <w:pStyle w:val="0"/>
        <w:spacing w:before="200" w:line-rule="auto"/>
        <w:ind w:firstLine="540"/>
        <w:jc w:val="both"/>
      </w:pPr>
      <w:r>
        <w:rPr>
          <w:sz w:val="20"/>
        </w:rPr>
        <w:t xml:space="preserve">развитие индивидуального жилищного строительства, в том числе в рамках реализации инициативы социально-экономического развития Российской Федерации "Мой частный дом";</w:t>
      </w:r>
    </w:p>
    <w:p>
      <w:pPr>
        <w:pStyle w:val="0"/>
        <w:spacing w:before="200" w:line-rule="auto"/>
        <w:ind w:firstLine="540"/>
        <w:jc w:val="both"/>
      </w:pPr>
      <w:r>
        <w:rPr>
          <w:sz w:val="20"/>
        </w:rPr>
        <w:t xml:space="preserve">восстановление прав всех обманутых граждан - участников долевого строительства;</w:t>
      </w:r>
    </w:p>
    <w:p>
      <w:pPr>
        <w:pStyle w:val="0"/>
        <w:spacing w:before="200" w:line-rule="auto"/>
        <w:ind w:firstLine="540"/>
        <w:jc w:val="both"/>
      </w:pPr>
      <w:r>
        <w:rPr>
          <w:sz w:val="20"/>
        </w:rPr>
        <w:t xml:space="preserve">реализация новой программы расселения;</w:t>
      </w:r>
    </w:p>
    <w:p>
      <w:pPr>
        <w:pStyle w:val="0"/>
        <w:spacing w:before="200" w:line-rule="auto"/>
        <w:ind w:firstLine="540"/>
        <w:jc w:val="both"/>
      </w:pPr>
      <w:r>
        <w:rPr>
          <w:sz w:val="20"/>
        </w:rPr>
        <w:t xml:space="preserve">выполнение государственных обязательств по обеспечению жильем отдельных категорий граждан;</w:t>
      </w:r>
    </w:p>
    <w:p>
      <w:pPr>
        <w:pStyle w:val="0"/>
        <w:spacing w:before="200" w:line-rule="auto"/>
        <w:ind w:firstLine="540"/>
        <w:jc w:val="both"/>
      </w:pPr>
      <w:r>
        <w:rPr>
          <w:sz w:val="20"/>
        </w:rPr>
        <w:t xml:space="preserve">активное формирование и развитие рынка арендного жилья;</w:t>
      </w:r>
    </w:p>
    <w:p>
      <w:pPr>
        <w:pStyle w:val="0"/>
        <w:spacing w:before="200" w:line-rule="auto"/>
        <w:ind w:firstLine="540"/>
        <w:jc w:val="both"/>
      </w:pPr>
      <w:r>
        <w:rPr>
          <w:sz w:val="20"/>
        </w:rPr>
        <w:t xml:space="preserve">совершенствование подходов к применению мер поддержки жилищного строительства, в том числе с учетом особенностей отдельных субъектов Российской Федерации.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ежегодное улучшение жилищных условий не менее 5 млн. семей;</w:t>
      </w:r>
    </w:p>
    <w:p>
      <w:pPr>
        <w:pStyle w:val="0"/>
        <w:spacing w:before="200" w:line-rule="auto"/>
        <w:ind w:firstLine="540"/>
        <w:jc w:val="both"/>
      </w:pPr>
      <w:r>
        <w:rPr>
          <w:sz w:val="20"/>
        </w:rPr>
        <w:t xml:space="preserve">достигнуты объемы ввода жилья в размере не менее 120 млн. кв. метров ежегодно;</w:t>
      </w:r>
    </w:p>
    <w:p>
      <w:pPr>
        <w:pStyle w:val="0"/>
        <w:spacing w:before="200" w:line-rule="auto"/>
        <w:ind w:firstLine="540"/>
        <w:jc w:val="both"/>
      </w:pPr>
      <w:r>
        <w:rPr>
          <w:sz w:val="20"/>
        </w:rPr>
        <w:t xml:space="preserve">более чем на 20 процентов обновлен жилищный фонд к 2030 году;</w:t>
      </w:r>
    </w:p>
    <w:p>
      <w:pPr>
        <w:pStyle w:val="0"/>
        <w:spacing w:before="200" w:line-rule="auto"/>
        <w:ind w:firstLine="540"/>
        <w:jc w:val="both"/>
      </w:pPr>
      <w:r>
        <w:rPr>
          <w:sz w:val="20"/>
        </w:rPr>
        <w:t xml:space="preserve">достигнута обеспеченность населения жильем на уровне не менее 33,3 кв. метра на 1 человека к 2030 году;</w:t>
      </w:r>
    </w:p>
    <w:p>
      <w:pPr>
        <w:pStyle w:val="0"/>
        <w:spacing w:before="200" w:line-rule="auto"/>
        <w:ind w:firstLine="540"/>
        <w:jc w:val="both"/>
      </w:pPr>
      <w:r>
        <w:rPr>
          <w:sz w:val="20"/>
        </w:rPr>
        <w:t xml:space="preserve">обеспечен объем многоквартирных домов, находящихся в стадии строительства, в размере не менее 140 млн. кв. метров;</w:t>
      </w:r>
    </w:p>
    <w:p>
      <w:pPr>
        <w:pStyle w:val="0"/>
        <w:spacing w:before="200" w:line-rule="auto"/>
        <w:ind w:firstLine="540"/>
        <w:jc w:val="both"/>
      </w:pPr>
      <w:r>
        <w:rPr>
          <w:sz w:val="20"/>
        </w:rPr>
        <w:t xml:space="preserve">созданы условия для ускоренной ликвидации накопившейся очереди отдельных категорий граждан, нуждающихся в улучшении жилищных условий, и осуществлен переход на обеспечение их жильем в плановом порядке;</w:t>
      </w:r>
    </w:p>
    <w:p>
      <w:pPr>
        <w:pStyle w:val="0"/>
        <w:spacing w:before="200" w:line-rule="auto"/>
        <w:ind w:firstLine="540"/>
        <w:jc w:val="both"/>
      </w:pPr>
      <w:r>
        <w:rPr>
          <w:sz w:val="20"/>
        </w:rPr>
        <w:t xml:space="preserve">восстановлены права всех обманутых граждан - участников долевого строительства;</w:t>
      </w:r>
    </w:p>
    <w:p>
      <w:pPr>
        <w:pStyle w:val="0"/>
        <w:spacing w:before="200" w:line-rule="auto"/>
        <w:ind w:firstLine="540"/>
        <w:jc w:val="both"/>
      </w:pPr>
      <w:r>
        <w:rPr>
          <w:sz w:val="20"/>
        </w:rPr>
        <w:t xml:space="preserve">обеспечено превышение ежегодного объема расселения над ежегодным объемом признания жилья аварийным;</w:t>
      </w:r>
    </w:p>
    <w:p>
      <w:pPr>
        <w:pStyle w:val="0"/>
        <w:spacing w:before="200" w:line-rule="auto"/>
        <w:ind w:firstLine="540"/>
        <w:jc w:val="both"/>
      </w:pPr>
      <w:r>
        <w:rPr>
          <w:sz w:val="20"/>
        </w:rPr>
        <w:t xml:space="preserve">увеличены объемы индивидуального жилищного строительства, в том числе индустриальным способом;</w:t>
      </w:r>
    </w:p>
    <w:p>
      <w:pPr>
        <w:pStyle w:val="0"/>
        <w:spacing w:before="200" w:line-rule="auto"/>
        <w:ind w:firstLine="540"/>
        <w:jc w:val="both"/>
      </w:pPr>
      <w:r>
        <w:rPr>
          <w:sz w:val="20"/>
        </w:rPr>
        <w:t xml:space="preserve">увеличение доли жилья, строящегося с применением мер поддержки спроса и предложения на жилье.</w:t>
      </w:r>
    </w:p>
    <w:p>
      <w:pPr>
        <w:pStyle w:val="0"/>
        <w:jc w:val="both"/>
      </w:pPr>
      <w:r>
        <w:rPr>
          <w:sz w:val="20"/>
        </w:rPr>
      </w:r>
    </w:p>
    <w:p>
      <w:pPr>
        <w:pStyle w:val="2"/>
        <w:outlineLvl w:val="2"/>
        <w:jc w:val="center"/>
      </w:pPr>
      <w:r>
        <w:rPr>
          <w:sz w:val="20"/>
        </w:rPr>
        <w:t xml:space="preserve">Новые подходы к поддержке жилищного строительства в регионах</w:t>
      </w:r>
    </w:p>
    <w:p>
      <w:pPr>
        <w:pStyle w:val="0"/>
        <w:jc w:val="both"/>
      </w:pPr>
      <w:r>
        <w:rPr>
          <w:sz w:val="20"/>
        </w:rPr>
      </w:r>
    </w:p>
    <w:p>
      <w:pPr>
        <w:pStyle w:val="0"/>
        <w:ind w:firstLine="540"/>
        <w:jc w:val="both"/>
      </w:pPr>
      <w:r>
        <w:rPr>
          <w:sz w:val="20"/>
        </w:rPr>
        <w:t xml:space="preserve">Опыт реализации текущих программ государственной поддержки жилищного строительства свидетельствует о том, что их применение без учета фактической ситуации в регионах может привести к нарушению баланса спроса и предложения и снижению объемов строящегося жилья либо его доступности.</w:t>
      </w:r>
    </w:p>
    <w:p>
      <w:pPr>
        <w:pStyle w:val="0"/>
        <w:spacing w:before="200" w:line-rule="auto"/>
        <w:ind w:firstLine="540"/>
        <w:jc w:val="both"/>
      </w:pPr>
      <w:r>
        <w:rPr>
          <w:sz w:val="20"/>
        </w:rPr>
        <w:t xml:space="preserve">Для получения наибольшего эффекта предлагается распределить субъекты Российской Федерации по 5 основным кластерам рынка жилья для последующего применения в субъектах Российской Федерации соответствующих мер поддержки жилищного строительства.</w:t>
      </w:r>
    </w:p>
    <w:p>
      <w:pPr>
        <w:pStyle w:val="0"/>
        <w:spacing w:before="200" w:line-rule="auto"/>
        <w:ind w:firstLine="540"/>
        <w:jc w:val="both"/>
      </w:pPr>
      <w:r>
        <w:rPr>
          <w:sz w:val="20"/>
        </w:rPr>
        <w:t xml:space="preserve">Кластер 1 "Динамичные" - высокий приток и темпы роста населения при больших объемах ввода жилья, не покрывающих спроса и приводящих к низкой доступности жилья.</w:t>
      </w:r>
    </w:p>
    <w:p>
      <w:pPr>
        <w:pStyle w:val="0"/>
        <w:spacing w:before="200" w:line-rule="auto"/>
        <w:ind w:firstLine="540"/>
        <w:jc w:val="both"/>
      </w:pPr>
      <w:r>
        <w:rPr>
          <w:sz w:val="20"/>
        </w:rPr>
        <w:t xml:space="preserve">Кластер 2 "С нехваткой спроса" - снижение численности населения и доходов, низкие объемы ввода жилья при избыточном предложении на рынке жилой недвижимости и высоком уровне доступности жилья.</w:t>
      </w:r>
    </w:p>
    <w:p>
      <w:pPr>
        <w:pStyle w:val="0"/>
        <w:spacing w:before="200" w:line-rule="auto"/>
        <w:ind w:firstLine="540"/>
        <w:jc w:val="both"/>
      </w:pPr>
      <w:r>
        <w:rPr>
          <w:sz w:val="20"/>
        </w:rPr>
        <w:t xml:space="preserve">Кластер 3 "С нехваткой предложения" - отток населения и низкие объемы ввода жилья, не покрывающие спрос, приводят к низкой доступности жилья.</w:t>
      </w:r>
    </w:p>
    <w:p>
      <w:pPr>
        <w:pStyle w:val="0"/>
        <w:spacing w:before="200" w:line-rule="auto"/>
        <w:ind w:firstLine="540"/>
        <w:jc w:val="both"/>
      </w:pPr>
      <w:r>
        <w:rPr>
          <w:sz w:val="20"/>
        </w:rPr>
        <w:t xml:space="preserve">Кластер 4 "Стагнирующие" - баланс спроса и предложения при невысоких объемах жилищного строительства обеспечивает доступность жилья.</w:t>
      </w:r>
    </w:p>
    <w:p>
      <w:pPr>
        <w:pStyle w:val="0"/>
        <w:spacing w:before="200" w:line-rule="auto"/>
        <w:ind w:firstLine="540"/>
        <w:jc w:val="both"/>
      </w:pPr>
      <w:r>
        <w:rPr>
          <w:sz w:val="20"/>
        </w:rPr>
        <w:t xml:space="preserve">Кластер 5 "Депрессивные (сложные)" - активное снижение численности населения и наиболее низкие объемы ввода жилья.</w:t>
      </w:r>
    </w:p>
    <w:p>
      <w:pPr>
        <w:pStyle w:val="0"/>
        <w:spacing w:before="200" w:line-rule="auto"/>
        <w:ind w:firstLine="540"/>
        <w:jc w:val="both"/>
      </w:pPr>
      <w:r>
        <w:rPr>
          <w:sz w:val="20"/>
        </w:rPr>
        <w:t xml:space="preserve">При этом ипотека, в том числе льготная, рассматривается как механизм поддержки спроса в каждом регионе.</w:t>
      </w:r>
    </w:p>
    <w:p>
      <w:pPr>
        <w:pStyle w:val="0"/>
        <w:spacing w:before="200" w:line-rule="auto"/>
        <w:ind w:firstLine="540"/>
        <w:jc w:val="both"/>
      </w:pPr>
      <w:r>
        <w:rPr>
          <w:sz w:val="20"/>
        </w:rPr>
        <w:t xml:space="preserve">При базовом сценарии социально-экономического развития России, предполагающем рост реальных доходов населения на 25 процентов за 2021 - 2030 годы, адресное применение действующих мер поддержки в субъектах Российской Федерации на основе кластеризации обеспечит достижение целевого показателя национальной цели развития - ввод 120 млн. кв. метров жилья в 2030 году.</w:t>
      </w:r>
    </w:p>
    <w:p>
      <w:pPr>
        <w:pStyle w:val="0"/>
        <w:spacing w:before="200" w:line-rule="auto"/>
        <w:ind w:firstLine="540"/>
        <w:jc w:val="both"/>
      </w:pPr>
      <w:r>
        <w:rPr>
          <w:sz w:val="20"/>
        </w:rPr>
        <w:t xml:space="preserve">При экономическом росте и росте реальных доходов населения ниже предусмотренных базовым сценарием темпов достижение плановых объемов ввода жилья в 2030 году возможно при условии увеличения объемов финансирования действующих и дополнительных мер поддержки отдельных категорий граждан, которым не доступно приобретение жилья на рыночных условиях.</w:t>
      </w:r>
    </w:p>
    <w:p>
      <w:pPr>
        <w:pStyle w:val="0"/>
        <w:jc w:val="both"/>
      </w:pPr>
      <w:r>
        <w:rPr>
          <w:sz w:val="20"/>
        </w:rPr>
      </w:r>
    </w:p>
    <w:p>
      <w:pPr>
        <w:pStyle w:val="2"/>
        <w:outlineLvl w:val="2"/>
        <w:jc w:val="center"/>
      </w:pPr>
      <w:r>
        <w:rPr>
          <w:sz w:val="20"/>
        </w:rPr>
        <w:t xml:space="preserve">Развитие ипотечного кредитования</w:t>
      </w:r>
    </w:p>
    <w:p>
      <w:pPr>
        <w:pStyle w:val="0"/>
        <w:jc w:val="both"/>
      </w:pPr>
      <w:r>
        <w:rPr>
          <w:sz w:val="20"/>
        </w:rPr>
      </w:r>
    </w:p>
    <w:p>
      <w:pPr>
        <w:pStyle w:val="0"/>
        <w:ind w:firstLine="540"/>
        <w:jc w:val="both"/>
      </w:pPr>
      <w:r>
        <w:rPr>
          <w:sz w:val="20"/>
        </w:rPr>
        <w:t xml:space="preserve">Ипотечное кредитование является основным рыночным способом улучшения жилищных условий. Ежегодно около 50 процентов всех сделок с жильем оформляется с привлечением кредитных средств, а в 2020 - 2021 годах в условиях низких ставок по рыночным кредитам и реализации программы "Льготной ипотеки" эта доля достигала 75 - 80 процентов на первичном рынке.</w:t>
      </w:r>
    </w:p>
    <w:p>
      <w:pPr>
        <w:pStyle w:val="0"/>
        <w:spacing w:before="200" w:line-rule="auto"/>
        <w:ind w:firstLine="540"/>
        <w:jc w:val="both"/>
      </w:pPr>
      <w:r>
        <w:rPr>
          <w:sz w:val="20"/>
        </w:rPr>
        <w:t xml:space="preserve">Ежегодно с помощью ипотеки более 1,3 - 1,8 млн. семей приобретают жилье. Ипотечный кредит выплачивает каждая 10-я российская семья (более 7 млн. семей). В последние годы темп прироста ипотечного портфеля превышает 20 процентов. С учетом секьюритизации ипотечных кредитов ипотечный портфель составляет 12,9 трлн. рублей (в том числе менее 1 процента составляют кредиты на индивидуальное жилищное строительство) - около 10 процентов годового объема валового внутреннего продукта, а доля ипотеки в совокупных кредитах населения - около 48 процентов. Существует потенциал роста рынка ипотеки в 1,5 раза, до 15 процентов валового внутреннего продукта и более.</w:t>
      </w:r>
    </w:p>
    <w:p>
      <w:pPr>
        <w:pStyle w:val="0"/>
        <w:spacing w:before="200" w:line-rule="auto"/>
        <w:ind w:firstLine="540"/>
        <w:jc w:val="both"/>
      </w:pPr>
      <w:r>
        <w:rPr>
          <w:sz w:val="20"/>
        </w:rPr>
        <w:t xml:space="preserve">В 2021 году выдано 1,9 млн. ипотечных кредитов (+ 7 процентов к 2020 году) на общую сумму 5,7 трлн. рублей (+ 28 процентов к 2020 году), в том числе по льготным программам выдано 24 процента всех ипотечных кредитов (476 тыс. на 1542 млрд. рублей). На цели приобретения и строительства индивидуальных домов выдано 37 тыс. кредитов на 121 млрд. рублей (2 процента всего количества выданных ипотек). Средний уровень ипотечной ставки с начала года составил 7,49 процента (на новостройки - 5,9 процента, на жилье на вторичном рынке - 8,31 процента).</w:t>
      </w:r>
    </w:p>
    <w:p>
      <w:pPr>
        <w:pStyle w:val="0"/>
        <w:spacing w:before="200" w:line-rule="auto"/>
        <w:ind w:firstLine="540"/>
        <w:jc w:val="both"/>
      </w:pPr>
      <w:r>
        <w:rPr>
          <w:sz w:val="20"/>
        </w:rPr>
        <w:t xml:space="preserve">В 2020 году в целях поддержки граждан и рынков жилья и ипотеки в условиях ухудшения макроэкономической ситуации из-за пандемии запущена программа льготной ипотеки на новостройки. Принятые решения позволили не допустить снижения уровня ипотеки и жилищного строительства. Объем выдачи ипотеки в 2021 году на новостройки (476 тыс. на 1 881 млрд. рублей) на 40 процентов больше в количественном выражении и на 104 процента - в денежном, чем в докризисном 2019 году.</w:t>
      </w:r>
    </w:p>
    <w:p>
      <w:pPr>
        <w:pStyle w:val="0"/>
        <w:spacing w:before="200" w:line-rule="auto"/>
        <w:ind w:firstLine="540"/>
        <w:jc w:val="both"/>
      </w:pPr>
      <w:r>
        <w:rPr>
          <w:sz w:val="20"/>
        </w:rPr>
        <w:t xml:space="preserve">С помощью единой информационной системы жилищного строительства организовано единое цифровое пространство для взаимодействия ключевых участников рынков жилищного строительства и ипотечного кредитования, реализована платформа для оперативного запуска любых программ поддержки населения и отрасли.</w:t>
      </w:r>
    </w:p>
    <w:p>
      <w:pPr>
        <w:pStyle w:val="0"/>
        <w:spacing w:before="200" w:line-rule="auto"/>
        <w:ind w:firstLine="540"/>
        <w:jc w:val="both"/>
      </w:pPr>
      <w:r>
        <w:rPr>
          <w:sz w:val="20"/>
        </w:rPr>
        <w:t xml:space="preserve">Вызовом является недоступность ипотеки для 50 процентов населения при значении рыночной ставки по ипотеке на уровне 9 - 10 процентов и отсутствие роста реальных доходов населения как основы для формирования долгосрочного стабильного спроса на жилье.</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обеспечение доступности ипотеки за счет снижения ипотечной ставки;</w:t>
      </w:r>
    </w:p>
    <w:p>
      <w:pPr>
        <w:pStyle w:val="0"/>
        <w:spacing w:before="200" w:line-rule="auto"/>
        <w:ind w:firstLine="540"/>
        <w:jc w:val="both"/>
      </w:pPr>
      <w:r>
        <w:rPr>
          <w:sz w:val="20"/>
        </w:rPr>
        <w:t xml:space="preserve">обеспечение стабильного долгосрочного спроса на жилье и опережающего роста запуска новых проектов.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комплекса мероприятий по достижению национальной цели "Улучшение жилищных условий не менее 5 млн. семей ежегодно" в части снижения уровня процентной ставки по ипотечным кредитам;</w:t>
      </w:r>
    </w:p>
    <w:p>
      <w:pPr>
        <w:pStyle w:val="0"/>
        <w:spacing w:before="200" w:line-rule="auto"/>
        <w:ind w:firstLine="540"/>
        <w:jc w:val="both"/>
      </w:pPr>
      <w:r>
        <w:rPr>
          <w:sz w:val="20"/>
        </w:rPr>
        <w:t xml:space="preserve">повышение инвестиционной привлекательности и ликвидности ипотечных ценных бумаг;</w:t>
      </w:r>
    </w:p>
    <w:p>
      <w:pPr>
        <w:pStyle w:val="0"/>
        <w:spacing w:before="200" w:line-rule="auto"/>
        <w:ind w:firstLine="540"/>
        <w:jc w:val="both"/>
      </w:pPr>
      <w:r>
        <w:rPr>
          <w:sz w:val="20"/>
        </w:rPr>
        <w:t xml:space="preserve">стандартизация и цифровизация рынка ипотеки;</w:t>
      </w:r>
    </w:p>
    <w:p>
      <w:pPr>
        <w:pStyle w:val="0"/>
        <w:spacing w:before="200" w:line-rule="auto"/>
        <w:ind w:firstLine="540"/>
        <w:jc w:val="both"/>
      </w:pPr>
      <w:r>
        <w:rPr>
          <w:sz w:val="20"/>
        </w:rPr>
        <w:t xml:space="preserve">снижение издержек граждан и банков на оформление и обслуживание ипотечного кредита за счет перевода взаимодействия заемщиков, банков и государственных органов в электронный формат;</w:t>
      </w:r>
    </w:p>
    <w:p>
      <w:pPr>
        <w:pStyle w:val="0"/>
        <w:spacing w:before="200" w:line-rule="auto"/>
        <w:ind w:firstLine="540"/>
        <w:jc w:val="both"/>
      </w:pPr>
      <w:r>
        <w:rPr>
          <w:sz w:val="20"/>
        </w:rPr>
        <w:t xml:space="preserve">развитие механизма ипотечного кредитования строительства индивидуальных жилых домов, в том числе льготных ипотечных программ, и строительства индивидуальных жилых домов гражданами самостоятельно;</w:t>
      </w:r>
    </w:p>
    <w:p>
      <w:pPr>
        <w:pStyle w:val="0"/>
        <w:spacing w:before="200" w:line-rule="auto"/>
        <w:ind w:firstLine="540"/>
        <w:jc w:val="both"/>
      </w:pPr>
      <w:r>
        <w:rPr>
          <w:sz w:val="20"/>
        </w:rPr>
        <w:t xml:space="preserve">расширение возможности использования цифровых активов в строительстве (цифровые деньги, цифровая закладная);</w:t>
      </w:r>
    </w:p>
    <w:p>
      <w:pPr>
        <w:pStyle w:val="0"/>
        <w:spacing w:before="200" w:line-rule="auto"/>
        <w:ind w:firstLine="540"/>
        <w:jc w:val="both"/>
      </w:pPr>
      <w:r>
        <w:rPr>
          <w:sz w:val="20"/>
        </w:rPr>
        <w:t xml:space="preserve">реализация программ льготной ипотеки для отдельных категорий граждан для обеспечения устойчивого снижения ставок по ипотеке и стабильного спроса на новостройки. Для поддержки отдельных категорий граждан, в том числе семей с детьми, в случае реализации негативного макроэкономического сценария, снижения спроса на новое жилье потребуется оперативное изменение существующих параметров реализации ипотечных программ с государственной поддержкой и продление срока действия отдельных программ до 2030 года;</w:t>
      </w:r>
    </w:p>
    <w:p>
      <w:pPr>
        <w:pStyle w:val="0"/>
        <w:spacing w:before="200" w:line-rule="auto"/>
        <w:ind w:firstLine="540"/>
        <w:jc w:val="both"/>
      </w:pPr>
      <w:r>
        <w:rPr>
          <w:sz w:val="20"/>
        </w:rPr>
        <w:t xml:space="preserve">унификация условий и механизмов реализации всех ипотечных программ, реализуемых с финансовой поддержкой из федерального бюджета и бюджетов субъектов Российской Федерации;</w:t>
      </w:r>
    </w:p>
    <w:p>
      <w:pPr>
        <w:pStyle w:val="0"/>
        <w:spacing w:before="200" w:line-rule="auto"/>
        <w:ind w:firstLine="540"/>
        <w:jc w:val="both"/>
      </w:pPr>
      <w:r>
        <w:rPr>
          <w:sz w:val="20"/>
        </w:rPr>
        <w:t xml:space="preserve">дифференцированное развитие ипотеки в регионах с использованием механизмов льготной ипотеки с государственной поддержкой;</w:t>
      </w:r>
    </w:p>
    <w:p>
      <w:pPr>
        <w:pStyle w:val="0"/>
        <w:spacing w:before="200" w:line-rule="auto"/>
        <w:ind w:firstLine="540"/>
        <w:jc w:val="both"/>
      </w:pPr>
      <w:r>
        <w:rPr>
          <w:sz w:val="20"/>
        </w:rPr>
        <w:t xml:space="preserve">развитие дополнительных финансовых механизмов приобретения жилья (накопительные жилищные счета, за счет которых заемщики смогут накопить первоначальный взнос и снизить ставку по ипотеке) и лучших региональных практик (жилье в рассрочку для отдельных категорий и др.).</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приобретение жилья с ипотекой доступно для 60 процентов российских семей, отношение ипотечного портфеля к годовому объему валового внутреннего продукта выросло в 1,5 раза по отношению к 2020 году, до 15 процентов и более;</w:t>
      </w:r>
    </w:p>
    <w:p>
      <w:pPr>
        <w:pStyle w:val="0"/>
        <w:spacing w:before="200" w:line-rule="auto"/>
        <w:ind w:firstLine="540"/>
        <w:jc w:val="both"/>
      </w:pPr>
      <w:r>
        <w:rPr>
          <w:sz w:val="20"/>
        </w:rPr>
        <w:t xml:space="preserve">обеспечена выдача не менее 500 тыс. ипотечных кредитов на приобретение (создание) объектов индивидуального жилищного строительства к 2030 году;</w:t>
      </w:r>
    </w:p>
    <w:p>
      <w:pPr>
        <w:pStyle w:val="0"/>
        <w:spacing w:before="200" w:line-rule="auto"/>
        <w:ind w:firstLine="540"/>
        <w:jc w:val="both"/>
      </w:pPr>
      <w:r>
        <w:rPr>
          <w:sz w:val="20"/>
        </w:rPr>
        <w:t xml:space="preserve">обеспечен дифференцированный подход к реализации механизмов льготной ипотеки с государственной поддержкой с учетом деления регионов на кластеры.</w:t>
      </w:r>
    </w:p>
    <w:p>
      <w:pPr>
        <w:pStyle w:val="0"/>
        <w:jc w:val="both"/>
      </w:pPr>
      <w:r>
        <w:rPr>
          <w:sz w:val="20"/>
        </w:rPr>
      </w:r>
    </w:p>
    <w:p>
      <w:pPr>
        <w:pStyle w:val="2"/>
        <w:outlineLvl w:val="2"/>
        <w:jc w:val="center"/>
      </w:pPr>
      <w:r>
        <w:rPr>
          <w:sz w:val="20"/>
        </w:rPr>
        <w:t xml:space="preserve">Развитие индивидуального жилищного строительства</w:t>
      </w:r>
    </w:p>
    <w:p>
      <w:pPr>
        <w:pStyle w:val="0"/>
        <w:jc w:val="both"/>
      </w:pPr>
      <w:r>
        <w:rPr>
          <w:sz w:val="20"/>
        </w:rPr>
      </w:r>
    </w:p>
    <w:p>
      <w:pPr>
        <w:pStyle w:val="0"/>
        <w:ind w:firstLine="540"/>
        <w:jc w:val="both"/>
      </w:pPr>
      <w:r>
        <w:rPr>
          <w:sz w:val="20"/>
        </w:rPr>
        <w:t xml:space="preserve">Согласно исследованию Всероссийского центра изучения общественного мнения и акционерного общества "ДОМ.РФ", около 56 процентов живущих в квартирах граждан Российской Федерации (19,7 млн. семей) хотят переехать в индивидуальные дома.</w:t>
      </w:r>
    </w:p>
    <w:p>
      <w:pPr>
        <w:pStyle w:val="0"/>
        <w:spacing w:before="200" w:line-rule="auto"/>
        <w:ind w:firstLine="540"/>
        <w:jc w:val="both"/>
      </w:pPr>
      <w:r>
        <w:rPr>
          <w:sz w:val="20"/>
        </w:rPr>
        <w:t xml:space="preserve">Основными барьерами, сдерживающими развитие индивидуального жилищного строительства, являются:</w:t>
      </w:r>
    </w:p>
    <w:p>
      <w:pPr>
        <w:pStyle w:val="0"/>
        <w:spacing w:before="200" w:line-rule="auto"/>
        <w:ind w:firstLine="540"/>
        <w:jc w:val="both"/>
      </w:pPr>
      <w:r>
        <w:rPr>
          <w:sz w:val="20"/>
        </w:rPr>
        <w:t xml:space="preserve">низкая ликвидность построенных населением индивидуальных жилых домов;</w:t>
      </w:r>
    </w:p>
    <w:p>
      <w:pPr>
        <w:pStyle w:val="0"/>
        <w:spacing w:before="200" w:line-rule="auto"/>
        <w:ind w:firstLine="540"/>
        <w:jc w:val="both"/>
      </w:pPr>
      <w:r>
        <w:rPr>
          <w:sz w:val="20"/>
        </w:rPr>
        <w:t xml:space="preserve">отсутствие профессионального и квалифицированного рынка строительных услуг;</w:t>
      </w:r>
    </w:p>
    <w:p>
      <w:pPr>
        <w:pStyle w:val="0"/>
        <w:spacing w:before="200" w:line-rule="auto"/>
        <w:ind w:firstLine="540"/>
        <w:jc w:val="both"/>
      </w:pPr>
      <w:r>
        <w:rPr>
          <w:sz w:val="20"/>
        </w:rPr>
        <w:t xml:space="preserve">низкий уровень развития ипотечного кредитования на цели строительства объектов индивидуального жилищного строительства.</w:t>
      </w:r>
    </w:p>
    <w:p>
      <w:pPr>
        <w:pStyle w:val="0"/>
        <w:spacing w:before="200" w:line-rule="auto"/>
        <w:ind w:firstLine="540"/>
        <w:jc w:val="both"/>
      </w:pPr>
      <w:r>
        <w:rPr>
          <w:sz w:val="20"/>
        </w:rPr>
        <w:t xml:space="preserve">Для обеспечения развития индустриального строительства индивидуальных жилых домов на территориях комплексного развития необходима подготовка под строительство и обеспечение инфраструктурой более 72 тыс. гектаров земли в населенных пунктах.</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отсутствие эффективных ипотечных продуктов и доступных механизмов финансирования индустриального строительства индивидуальных жилых домов;</w:t>
      </w:r>
    </w:p>
    <w:p>
      <w:pPr>
        <w:pStyle w:val="0"/>
        <w:spacing w:before="200" w:line-rule="auto"/>
        <w:ind w:firstLine="540"/>
        <w:jc w:val="both"/>
      </w:pPr>
      <w:r>
        <w:rPr>
          <w:sz w:val="20"/>
        </w:rPr>
        <w:t xml:space="preserve">отсутствие земельных участков, подготовленных под строительство, в объеме, необходимом для достижения целевых показателей по вводу жилья;</w:t>
      </w:r>
    </w:p>
    <w:p>
      <w:pPr>
        <w:pStyle w:val="0"/>
        <w:spacing w:before="200" w:line-rule="auto"/>
        <w:ind w:firstLine="540"/>
        <w:jc w:val="both"/>
      </w:pPr>
      <w:r>
        <w:rPr>
          <w:sz w:val="20"/>
        </w:rPr>
        <w:t xml:space="preserve">отсутствие возможности либо высокая стоимость подключения (технологического присоединения) объектов индивидуального жилищного строительства к сетям инженерно-технического обеспечения;</w:t>
      </w:r>
    </w:p>
    <w:p>
      <w:pPr>
        <w:pStyle w:val="0"/>
        <w:spacing w:before="200" w:line-rule="auto"/>
        <w:ind w:firstLine="540"/>
        <w:jc w:val="both"/>
      </w:pPr>
      <w:r>
        <w:rPr>
          <w:sz w:val="20"/>
        </w:rPr>
        <w:t xml:space="preserve">отсутствие законодательного регулирования вопросов управления комплексами индивидуальных жилых домов.</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вовлечение в оборот земельных участков в целях индивидуального жилищного строительства;</w:t>
      </w:r>
    </w:p>
    <w:p>
      <w:pPr>
        <w:pStyle w:val="0"/>
        <w:spacing w:before="200" w:line-rule="auto"/>
        <w:ind w:firstLine="540"/>
        <w:jc w:val="both"/>
      </w:pPr>
      <w:r>
        <w:rPr>
          <w:sz w:val="20"/>
        </w:rPr>
        <w:t xml:space="preserve">обеспечение доступности строительства или приобретения индивидуального жилого дома, в том числе за счет средств ипотечного кредита;</w:t>
      </w:r>
    </w:p>
    <w:p>
      <w:pPr>
        <w:pStyle w:val="0"/>
        <w:spacing w:before="200" w:line-rule="auto"/>
        <w:ind w:firstLine="540"/>
        <w:jc w:val="both"/>
      </w:pPr>
      <w:r>
        <w:rPr>
          <w:sz w:val="20"/>
        </w:rPr>
        <w:t xml:space="preserve">обеспечение возможности подключения (технологического присоединения) объектов индивидуального жилищного строительства к сетям инженерно-технического обеспечения по доступной цене;</w:t>
      </w:r>
    </w:p>
    <w:p>
      <w:pPr>
        <w:pStyle w:val="0"/>
        <w:spacing w:before="200" w:line-rule="auto"/>
        <w:ind w:firstLine="540"/>
        <w:jc w:val="both"/>
      </w:pPr>
      <w:r>
        <w:rPr>
          <w:sz w:val="20"/>
        </w:rPr>
        <w:t xml:space="preserve">формирование механизма управления комплексами индивидуальных жилых домов.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правового регулирования в сфере индивидуального жилищного строительства;</w:t>
      </w:r>
    </w:p>
    <w:p>
      <w:pPr>
        <w:pStyle w:val="0"/>
        <w:spacing w:before="200" w:line-rule="auto"/>
        <w:ind w:firstLine="540"/>
        <w:jc w:val="both"/>
      </w:pPr>
      <w:r>
        <w:rPr>
          <w:sz w:val="20"/>
        </w:rPr>
        <w:t xml:space="preserve">ускорение процедур подготовки земельных участков под строительство индивидуальных жилых домов;</w:t>
      </w:r>
    </w:p>
    <w:p>
      <w:pPr>
        <w:pStyle w:val="0"/>
        <w:spacing w:before="200" w:line-rule="auto"/>
        <w:ind w:firstLine="540"/>
        <w:jc w:val="both"/>
      </w:pPr>
      <w:r>
        <w:rPr>
          <w:sz w:val="20"/>
        </w:rPr>
        <w:t xml:space="preserve">расширение программы ипотечного кредитования строительства объектов индивидуального жилищного строительства, которое осуществляется гражданами самостоятельно;</w:t>
      </w:r>
    </w:p>
    <w:p>
      <w:pPr>
        <w:pStyle w:val="0"/>
        <w:spacing w:before="200" w:line-rule="auto"/>
        <w:ind w:firstLine="540"/>
        <w:jc w:val="both"/>
      </w:pPr>
      <w:r>
        <w:rPr>
          <w:sz w:val="20"/>
        </w:rPr>
        <w:t xml:space="preserve">распространение механизма использования счетов эскроу на деятельность по строительству объектов индивидуального жилищного строительства;</w:t>
      </w:r>
    </w:p>
    <w:p>
      <w:pPr>
        <w:pStyle w:val="0"/>
        <w:spacing w:before="200" w:line-rule="auto"/>
        <w:ind w:firstLine="540"/>
        <w:jc w:val="both"/>
      </w:pPr>
      <w:r>
        <w:rPr>
          <w:sz w:val="20"/>
        </w:rPr>
        <w:t xml:space="preserve">предоставление земельных участков для целей индивидуального жилищного строительства с обязательством государственной регистрации прав на построенные на них жилые дома в установленный срок;</w:t>
      </w:r>
    </w:p>
    <w:p>
      <w:pPr>
        <w:pStyle w:val="0"/>
        <w:spacing w:before="200" w:line-rule="auto"/>
        <w:ind w:firstLine="540"/>
        <w:jc w:val="both"/>
      </w:pPr>
      <w:r>
        <w:rPr>
          <w:sz w:val="20"/>
        </w:rPr>
        <w:t xml:space="preserve">формирование банка земельных участков с доступной инженерной и транспортной инфраструктурой;</w:t>
      </w:r>
    </w:p>
    <w:p>
      <w:pPr>
        <w:pStyle w:val="0"/>
        <w:spacing w:before="200" w:line-rule="auto"/>
        <w:ind w:firstLine="540"/>
        <w:jc w:val="both"/>
      </w:pPr>
      <w:r>
        <w:rPr>
          <w:sz w:val="20"/>
        </w:rPr>
        <w:t xml:space="preserve">оптимизация процедур по обеспечению объектов индивидуального жилищного строительства необходимой инженерной инфраструктурой;</w:t>
      </w:r>
    </w:p>
    <w:p>
      <w:pPr>
        <w:pStyle w:val="0"/>
        <w:spacing w:before="200" w:line-rule="auto"/>
        <w:ind w:firstLine="540"/>
        <w:jc w:val="both"/>
      </w:pPr>
      <w:r>
        <w:rPr>
          <w:sz w:val="20"/>
        </w:rPr>
        <w:t xml:space="preserve">внедрение социально ориентированной и экономически эффективной системы газификации, газоснабжения населения в субъектах Российской Федерации;</w:t>
      </w:r>
    </w:p>
    <w:p>
      <w:pPr>
        <w:pStyle w:val="0"/>
        <w:spacing w:before="200" w:line-rule="auto"/>
        <w:ind w:firstLine="540"/>
        <w:jc w:val="both"/>
      </w:pPr>
      <w:r>
        <w:rPr>
          <w:sz w:val="20"/>
        </w:rPr>
        <w:t xml:space="preserve">внедрение реестра типовых проектов для строительства индивидуальных жилых домов;</w:t>
      </w:r>
    </w:p>
    <w:p>
      <w:pPr>
        <w:pStyle w:val="0"/>
        <w:spacing w:before="200" w:line-rule="auto"/>
        <w:ind w:firstLine="540"/>
        <w:jc w:val="both"/>
      </w:pPr>
      <w:r>
        <w:rPr>
          <w:sz w:val="20"/>
        </w:rPr>
        <w:t xml:space="preserve">создание условий для запуска массового строительства индивидуальных жилых домов индустриальным способом;</w:t>
      </w:r>
    </w:p>
    <w:p>
      <w:pPr>
        <w:pStyle w:val="0"/>
        <w:spacing w:before="200" w:line-rule="auto"/>
        <w:ind w:firstLine="540"/>
        <w:jc w:val="both"/>
      </w:pPr>
      <w:r>
        <w:rPr>
          <w:sz w:val="20"/>
        </w:rPr>
        <w:t xml:space="preserve">развитие модульного строительства, включая деревянное домостроение, стимулирование производства и применения домокомплектов;</w:t>
      </w:r>
    </w:p>
    <w:p>
      <w:pPr>
        <w:pStyle w:val="0"/>
        <w:spacing w:before="200" w:line-rule="auto"/>
        <w:ind w:firstLine="540"/>
        <w:jc w:val="both"/>
      </w:pPr>
      <w:r>
        <w:rPr>
          <w:sz w:val="20"/>
        </w:rPr>
        <w:t xml:space="preserve">формирование механизма управления комплексами индивидуальных жилых домов.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развитие индивидуального жилищного строительства, достигнут объем ввода индивидуального жилищного строительства в размере 50 млн. кв. метров ежегодно;</w:t>
      </w:r>
    </w:p>
    <w:p>
      <w:pPr>
        <w:pStyle w:val="0"/>
        <w:spacing w:before="200" w:line-rule="auto"/>
        <w:ind w:firstLine="540"/>
        <w:jc w:val="both"/>
      </w:pPr>
      <w:r>
        <w:rPr>
          <w:sz w:val="20"/>
        </w:rPr>
        <w:t xml:space="preserve">обеспечена защита интересов всех участников рынка индивидуального жилищного строительства;</w:t>
      </w:r>
    </w:p>
    <w:p>
      <w:pPr>
        <w:pStyle w:val="0"/>
        <w:spacing w:before="200" w:line-rule="auto"/>
        <w:ind w:firstLine="540"/>
        <w:jc w:val="both"/>
      </w:pPr>
      <w:r>
        <w:rPr>
          <w:sz w:val="20"/>
        </w:rPr>
        <w:t xml:space="preserve">запущено массовое строительство индивидуальных жилых домов индустриальным способом.</w:t>
      </w:r>
    </w:p>
    <w:p>
      <w:pPr>
        <w:pStyle w:val="0"/>
        <w:jc w:val="both"/>
      </w:pPr>
      <w:r>
        <w:rPr>
          <w:sz w:val="20"/>
        </w:rPr>
      </w:r>
    </w:p>
    <w:p>
      <w:pPr>
        <w:pStyle w:val="2"/>
        <w:outlineLvl w:val="2"/>
        <w:jc w:val="center"/>
      </w:pPr>
      <w:r>
        <w:rPr>
          <w:sz w:val="20"/>
        </w:rPr>
        <w:t xml:space="preserve">Восстановление прав граждан - участников</w:t>
      </w:r>
    </w:p>
    <w:p>
      <w:pPr>
        <w:pStyle w:val="2"/>
        <w:jc w:val="center"/>
      </w:pPr>
      <w:r>
        <w:rPr>
          <w:sz w:val="20"/>
        </w:rPr>
        <w:t xml:space="preserve">долевого строительства</w:t>
      </w:r>
    </w:p>
    <w:p>
      <w:pPr>
        <w:pStyle w:val="0"/>
        <w:jc w:val="both"/>
      </w:pPr>
      <w:r>
        <w:rPr>
          <w:sz w:val="20"/>
        </w:rPr>
      </w:r>
    </w:p>
    <w:p>
      <w:pPr>
        <w:pStyle w:val="0"/>
        <w:ind w:firstLine="540"/>
        <w:jc w:val="both"/>
      </w:pPr>
      <w:r>
        <w:rPr>
          <w:sz w:val="20"/>
        </w:rPr>
        <w:t xml:space="preserve">На конец 2021 года в единый реестр проблемных объектов включено порядка 2500 многоквартирных жилых домов площадью более 15 млн. кв. метров. За период 2018 - 2021 годов публично-правовой компанией "Фонд защиты прав граждан - участников долевого строительства" приняты обязательства по восстановлению прав более 102 тыс. граждан, вложивших денежные средства в строительство 1253 объектов.</w:t>
      </w:r>
    </w:p>
    <w:p>
      <w:pPr>
        <w:pStyle w:val="0"/>
        <w:spacing w:before="200" w:line-rule="auto"/>
        <w:ind w:firstLine="540"/>
        <w:jc w:val="both"/>
      </w:pPr>
      <w:r>
        <w:rPr>
          <w:sz w:val="20"/>
        </w:rPr>
        <w:t xml:space="preserve">На основе единой информационной системы жилищного строительства сформирована уникальная база данных о всех строящихся домах с привлечением средств граждан - участников долевого строительства, обеспечена прозрачность строительной отрасли, созданы сервисы для профессиональных участников рынка.</w:t>
      </w:r>
    </w:p>
    <w:p>
      <w:pPr>
        <w:pStyle w:val="0"/>
        <w:spacing w:before="200" w:line-rule="auto"/>
        <w:ind w:firstLine="540"/>
        <w:jc w:val="both"/>
      </w:pPr>
      <w:r>
        <w:rPr>
          <w:sz w:val="20"/>
        </w:rPr>
        <w:t xml:space="preserve">Вызовом является то, что по состоянию на конец 2021 года количество пострадавших граждан - участников долевого строительства составляет около 129 тыс. человек.</w:t>
      </w:r>
    </w:p>
    <w:p>
      <w:pPr>
        <w:pStyle w:val="0"/>
        <w:spacing w:before="200" w:line-rule="auto"/>
        <w:ind w:firstLine="540"/>
        <w:jc w:val="both"/>
      </w:pPr>
      <w:r>
        <w:rPr>
          <w:sz w:val="20"/>
        </w:rPr>
        <w:t xml:space="preserve">Задачей является восстановление прав всех обманутых граждан - участников долевого 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завершение строительства публично-правовой компанией "Фонд развития территорий" и субъектами Российской Федерации проблемных объектов, осуществление выплаты возмещения гражданам;</w:t>
      </w:r>
    </w:p>
    <w:p>
      <w:pPr>
        <w:pStyle w:val="0"/>
        <w:spacing w:before="200" w:line-rule="auto"/>
        <w:ind w:firstLine="540"/>
        <w:jc w:val="both"/>
      </w:pPr>
      <w:r>
        <w:rPr>
          <w:sz w:val="20"/>
        </w:rPr>
        <w:t xml:space="preserve">ликвидация объектов незавершенного строительства;</w:t>
      </w:r>
    </w:p>
    <w:p>
      <w:pPr>
        <w:pStyle w:val="0"/>
        <w:spacing w:before="200" w:line-rule="auto"/>
        <w:ind w:firstLine="540"/>
        <w:jc w:val="both"/>
      </w:pPr>
      <w:r>
        <w:rPr>
          <w:sz w:val="20"/>
        </w:rPr>
        <w:t xml:space="preserve">осуществление мониторинга реализации мероприятий по восстановлению прав обманутых граждан - участников долевого строительства в субъектах Российской Федерации;</w:t>
      </w:r>
    </w:p>
    <w:p>
      <w:pPr>
        <w:pStyle w:val="0"/>
        <w:spacing w:before="200" w:line-rule="auto"/>
        <w:ind w:firstLine="540"/>
        <w:jc w:val="both"/>
      </w:pPr>
      <w:r>
        <w:rPr>
          <w:sz w:val="20"/>
        </w:rPr>
        <w:t xml:space="preserve">использование механизмов комплексного развития территорий для строительства жилищного фонда социального использования и арендного жилья на земельных участках, предоставленных публично-правовой компании "Фонд развития территорий".</w:t>
      </w:r>
    </w:p>
    <w:p>
      <w:pPr>
        <w:pStyle w:val="0"/>
        <w:spacing w:before="200" w:line-rule="auto"/>
        <w:ind w:firstLine="540"/>
        <w:jc w:val="both"/>
      </w:pPr>
      <w:r>
        <w:rPr>
          <w:sz w:val="20"/>
        </w:rPr>
        <w:t xml:space="preserve">Результатом осуществления указанных мероприятий является принятие решений о восстановлении прав 100 процентов обманутых граждан - участников долевого строительства.</w:t>
      </w:r>
    </w:p>
    <w:p>
      <w:pPr>
        <w:pStyle w:val="0"/>
        <w:jc w:val="both"/>
      </w:pPr>
      <w:r>
        <w:rPr>
          <w:sz w:val="20"/>
        </w:rPr>
      </w:r>
    </w:p>
    <w:p>
      <w:pPr>
        <w:pStyle w:val="2"/>
        <w:outlineLvl w:val="2"/>
        <w:jc w:val="center"/>
      </w:pPr>
      <w:r>
        <w:rPr>
          <w:sz w:val="20"/>
        </w:rPr>
        <w:t xml:space="preserve">Обеспечение устойчивого сокращения непригодного</w:t>
      </w:r>
    </w:p>
    <w:p>
      <w:pPr>
        <w:pStyle w:val="2"/>
        <w:jc w:val="center"/>
      </w:pPr>
      <w:r>
        <w:rPr>
          <w:sz w:val="20"/>
        </w:rPr>
        <w:t xml:space="preserve">для проживания жилищного фонда</w:t>
      </w:r>
    </w:p>
    <w:p>
      <w:pPr>
        <w:pStyle w:val="0"/>
        <w:jc w:val="both"/>
      </w:pPr>
      <w:r>
        <w:rPr>
          <w:sz w:val="20"/>
        </w:rPr>
      </w:r>
    </w:p>
    <w:p>
      <w:pPr>
        <w:pStyle w:val="0"/>
        <w:ind w:firstLine="540"/>
        <w:jc w:val="both"/>
      </w:pPr>
      <w:r>
        <w:rPr>
          <w:sz w:val="20"/>
        </w:rPr>
        <w:t xml:space="preserve">В настоящее время расселение аварийного жилья осуществляется в соответствии с федеральным </w:t>
      </w:r>
      <w:hyperlink w:history="0" r:id="rId50" w:tooltip="Ссылка на КонсультантПлюс">
        <w:r>
          <w:rPr>
            <w:sz w:val="20"/>
            <w:color w:val="0000ff"/>
          </w:rPr>
          <w:t xml:space="preserve">проектом</w:t>
        </w:r>
      </w:hyperlink>
      <w:r>
        <w:rPr>
          <w:sz w:val="20"/>
        </w:rPr>
        <w:t xml:space="preserve"> "Обеспечение устойчивого сокращения непригодного для проживания жилищного фонда". За период 2019 - 2024 годов необходимо переселить 510 тыс. человек из 9 млн. кв. метров аварийного жилья.</w:t>
      </w:r>
    </w:p>
    <w:p>
      <w:pPr>
        <w:pStyle w:val="0"/>
        <w:spacing w:before="200" w:line-rule="auto"/>
        <w:ind w:firstLine="540"/>
        <w:jc w:val="both"/>
      </w:pPr>
      <w:r>
        <w:rPr>
          <w:sz w:val="20"/>
        </w:rPr>
        <w:t xml:space="preserve">Всего за период с 2008 по 2021 годы по программам переселения расселено более 21 млн. кв. метров аварийного жилья, переселено более 1,3 млн. человек. Максимально достигнутые объемы расселения аварийного жилья пришлись на 2014 - 2015 годы и составили около 3 млн. кв. метров в год. Максимальные объемы расселяемого аварийного жилья в указанный период обусловлены максимальными объемами финансирования программ переселения.</w:t>
      </w:r>
    </w:p>
    <w:p>
      <w:pPr>
        <w:pStyle w:val="0"/>
        <w:spacing w:before="200" w:line-rule="auto"/>
        <w:ind w:firstLine="540"/>
        <w:jc w:val="both"/>
      </w:pPr>
      <w:r>
        <w:rPr>
          <w:sz w:val="20"/>
        </w:rPr>
        <w:t xml:space="preserve">По данным Федеральной службы государственной статистики, за 2021 год из 2,5 млрд. кв. метров жилого фонда многоквартирных домов около 100 млн. кв. метров жилья имеет износ более 65 процентов. Основными факторами старения жилищного фонда являются естественный износ конструктивных элементов многоквартирных домов, несвоевременное проведение их капитального ремонта.</w:t>
      </w:r>
    </w:p>
    <w:p>
      <w:pPr>
        <w:pStyle w:val="0"/>
        <w:spacing w:before="200" w:line-rule="auto"/>
        <w:ind w:firstLine="540"/>
        <w:jc w:val="both"/>
      </w:pPr>
      <w:r>
        <w:rPr>
          <w:sz w:val="20"/>
        </w:rPr>
        <w:t xml:space="preserve">За 2008 - 2021 годы признано аварийным около 31 млн. кв. метров жилья. Жилищный фонд, признанный аварийным за период с 1 января 2017 г. до 1 января 2022 г., составляет 14,4 млн. кв. метров, в нем проживают около 800 тыс. человек. Всего в Российской Федерации признано аварийным и не вошло в действующую программу около 15,8 млн. кв. метров жилья.</w:t>
      </w:r>
    </w:p>
    <w:p>
      <w:pPr>
        <w:pStyle w:val="0"/>
        <w:spacing w:before="200" w:line-rule="auto"/>
        <w:ind w:firstLine="540"/>
        <w:jc w:val="both"/>
      </w:pPr>
      <w:r>
        <w:rPr>
          <w:sz w:val="20"/>
        </w:rPr>
        <w:t xml:space="preserve">Учитывая, что в среднем ежегодно признается аварийным около 2 млн. кв. метров жилья, за период 2022 - 2029 годов будут признаны аварийными 16 млн. кв. метров жилья.</w:t>
      </w:r>
    </w:p>
    <w:p>
      <w:pPr>
        <w:pStyle w:val="0"/>
        <w:spacing w:before="200" w:line-rule="auto"/>
        <w:ind w:firstLine="540"/>
        <w:jc w:val="both"/>
      </w:pPr>
      <w:r>
        <w:rPr>
          <w:sz w:val="20"/>
        </w:rPr>
        <w:t xml:space="preserve">Региональные программы расселения аварийного жилищного фонда при их надлежащем финансировании позволят предотвратить старение жилищного фонда в России, обеспечат расселение аварийного жилищного фонда и сокращение накопленного аварийного жилищного фонда.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темп прироста аварийного жилищного фонда превышает темп расселения, предусмотренный действующей программой;</w:t>
      </w:r>
    </w:p>
    <w:p>
      <w:pPr>
        <w:pStyle w:val="0"/>
        <w:spacing w:before="200" w:line-rule="auto"/>
        <w:ind w:firstLine="540"/>
        <w:jc w:val="both"/>
      </w:pPr>
      <w:r>
        <w:rPr>
          <w:sz w:val="20"/>
        </w:rPr>
        <w:t xml:space="preserve">высокая доля расходов бюджетных средств, направляемых на расселение аварийного жилищного фонда;</w:t>
      </w:r>
    </w:p>
    <w:p>
      <w:pPr>
        <w:pStyle w:val="0"/>
        <w:spacing w:before="200" w:line-rule="auto"/>
        <w:ind w:firstLine="540"/>
        <w:jc w:val="both"/>
      </w:pPr>
      <w:r>
        <w:rPr>
          <w:sz w:val="20"/>
        </w:rPr>
        <w:t xml:space="preserve">риски разрушения домов, признанных аварийными, поскольку исключены из программы капитального ремонта, и возникновение угроз жизни и здоровью граждан;</w:t>
      </w:r>
    </w:p>
    <w:p>
      <w:pPr>
        <w:pStyle w:val="0"/>
        <w:spacing w:before="200" w:line-rule="auto"/>
        <w:ind w:firstLine="540"/>
        <w:jc w:val="both"/>
      </w:pPr>
      <w:r>
        <w:rPr>
          <w:sz w:val="20"/>
        </w:rPr>
        <w:t xml:space="preserve">отсутствие особенностей проведения работ по капитальному ремонту многоквартирных домов с высокой степенью износа в целях сдерживания их перехода в аварийное состояние;</w:t>
      </w:r>
    </w:p>
    <w:p>
      <w:pPr>
        <w:pStyle w:val="0"/>
        <w:spacing w:before="200" w:line-rule="auto"/>
        <w:ind w:firstLine="540"/>
        <w:jc w:val="both"/>
      </w:pPr>
      <w:r>
        <w:rPr>
          <w:sz w:val="20"/>
        </w:rPr>
        <w:t xml:space="preserve">негативное влияние непригодной для проживания застройки на качество городской среды, в том числе в связи с неосуществлением сноса аварийного жилищного фонда и утилизации отходов строительства и сноса, образуемых в результате сноса.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выработка и внедрение комплексного подхода к обновлению жилищного фонда, предполагающего системные меры по развитию территорий населенных пунктов за счет новых источников финансирования;</w:t>
      </w:r>
    </w:p>
    <w:p>
      <w:pPr>
        <w:pStyle w:val="0"/>
        <w:spacing w:before="200" w:line-rule="auto"/>
        <w:ind w:firstLine="540"/>
        <w:jc w:val="both"/>
      </w:pPr>
      <w:r>
        <w:rPr>
          <w:sz w:val="20"/>
        </w:rPr>
        <w:t xml:space="preserve">создание постоянно действующего механизма расселения аварийного жилищного фонда со снижением доли бюджетных расходов, направляемых на его расселение, устанавливающего объем федеральной поддержки с учетом бюджетной обеспеченности субъектов Российской Федерации и средний уровень софинансирования из средств федерального бюджета не выше 60 процентов;</w:t>
      </w:r>
    </w:p>
    <w:p>
      <w:pPr>
        <w:pStyle w:val="0"/>
        <w:spacing w:before="200" w:line-rule="auto"/>
        <w:ind w:firstLine="540"/>
        <w:jc w:val="both"/>
      </w:pPr>
      <w:r>
        <w:rPr>
          <w:sz w:val="20"/>
        </w:rPr>
        <w:t xml:space="preserve">наращивание темпов расселения аварийного жилищного фонда для обеспечения устойчивого сокращения аварийного жилищного фонда;</w:t>
      </w:r>
    </w:p>
    <w:p>
      <w:pPr>
        <w:pStyle w:val="0"/>
        <w:spacing w:before="200" w:line-rule="auto"/>
        <w:ind w:firstLine="540"/>
        <w:jc w:val="both"/>
      </w:pPr>
      <w:r>
        <w:rPr>
          <w:sz w:val="20"/>
        </w:rPr>
        <w:t xml:space="preserve">расширение использования механизма комплексного развития территорий жилой застройки при расселении ветхого и аварийного жилищного фонда;</w:t>
      </w:r>
    </w:p>
    <w:p>
      <w:pPr>
        <w:pStyle w:val="0"/>
        <w:spacing w:before="200" w:line-rule="auto"/>
        <w:ind w:firstLine="540"/>
        <w:jc w:val="both"/>
      </w:pPr>
      <w:r>
        <w:rPr>
          <w:sz w:val="20"/>
        </w:rPr>
        <w:t xml:space="preserve">развитие института арендного жилья при расселении аварийного жилищного фонда;</w:t>
      </w:r>
    </w:p>
    <w:p>
      <w:pPr>
        <w:pStyle w:val="0"/>
        <w:spacing w:before="200" w:line-rule="auto"/>
        <w:ind w:firstLine="540"/>
        <w:jc w:val="both"/>
      </w:pPr>
      <w:r>
        <w:rPr>
          <w:sz w:val="20"/>
        </w:rPr>
        <w:t xml:space="preserve">формирование единых федеральных подходов по предоставлению адресной поддержки граждан с учетом принципа нуждаемости;</w:t>
      </w:r>
    </w:p>
    <w:p>
      <w:pPr>
        <w:pStyle w:val="0"/>
        <w:spacing w:before="200" w:line-rule="auto"/>
        <w:ind w:firstLine="540"/>
        <w:jc w:val="both"/>
      </w:pPr>
      <w:r>
        <w:rPr>
          <w:sz w:val="20"/>
        </w:rPr>
        <w:t xml:space="preserve">повышение ответственного отношения собственников к объектам капитального строительства, обеспечивающего их надлежащее состояние и ремонт;</w:t>
      </w:r>
    </w:p>
    <w:p>
      <w:pPr>
        <w:pStyle w:val="0"/>
        <w:spacing w:before="200" w:line-rule="auto"/>
        <w:ind w:firstLine="540"/>
        <w:jc w:val="both"/>
      </w:pPr>
      <w:r>
        <w:rPr>
          <w:sz w:val="20"/>
        </w:rPr>
        <w:t xml:space="preserve">определение единого порядка сноса аварийного жилищного фонда и утилизации отходов строительства и сноса.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региональных программ, предусматривающих механизмы поддержки проектов комплексного развития территорий, а также развитие института наемного жилья;</w:t>
      </w:r>
    </w:p>
    <w:p>
      <w:pPr>
        <w:pStyle w:val="0"/>
        <w:spacing w:before="200" w:line-rule="auto"/>
        <w:ind w:firstLine="540"/>
        <w:jc w:val="both"/>
      </w:pPr>
      <w:r>
        <w:rPr>
          <w:sz w:val="20"/>
        </w:rPr>
        <w:t xml:space="preserve">совершенствование правил предоставления жилых помещений и выплаты денежного возмещения при расселении аварийного жилищного фонда и обеспечение финансирования мероприятий переселения граждан из аварийного жилищного фонда с учетом необходимости "бесшовного" перехода к расселению граждан из аварийного жилищного фонда, признанного таковым после 1 января 2017 г., в субъектах Российской Федерации;</w:t>
      </w:r>
    </w:p>
    <w:p>
      <w:pPr>
        <w:pStyle w:val="0"/>
        <w:spacing w:before="200" w:line-rule="auto"/>
        <w:ind w:firstLine="540"/>
        <w:jc w:val="both"/>
      </w:pPr>
      <w:r>
        <w:rPr>
          <w:sz w:val="20"/>
        </w:rPr>
        <w:t xml:space="preserve">внесение изменений в законодательство Российской Федерации в части уточнения правил оценки рыночной стоимости помещений в многоквартирных домах, признанных аварийными, с учетом технического состояния таких домов;</w:t>
      </w:r>
    </w:p>
    <w:p>
      <w:pPr>
        <w:pStyle w:val="0"/>
        <w:spacing w:before="200" w:line-rule="auto"/>
        <w:ind w:firstLine="540"/>
        <w:jc w:val="both"/>
      </w:pPr>
      <w:r>
        <w:rPr>
          <w:sz w:val="20"/>
        </w:rPr>
        <w:t xml:space="preserve">создание за счет программы переселения из аварийного жилищного фонда наемного жилищного фонда в целях предоставления жилых помещений в некоммерческий наем на льготных условиях с правом выкупа таких жилых помещений;</w:t>
      </w:r>
    </w:p>
    <w:p>
      <w:pPr>
        <w:pStyle w:val="0"/>
        <w:spacing w:before="200" w:line-rule="auto"/>
        <w:ind w:firstLine="540"/>
        <w:jc w:val="both"/>
      </w:pPr>
      <w:r>
        <w:rPr>
          <w:sz w:val="20"/>
        </w:rPr>
        <w:t xml:space="preserve">расширение механизмов использования средств Фонда национального благосостояния, в том числе на реализацию проектов по строительству арендного жилья;</w:t>
      </w:r>
    </w:p>
    <w:p>
      <w:pPr>
        <w:pStyle w:val="0"/>
        <w:spacing w:before="200" w:line-rule="auto"/>
        <w:ind w:firstLine="540"/>
        <w:jc w:val="both"/>
      </w:pPr>
      <w:r>
        <w:rPr>
          <w:sz w:val="20"/>
        </w:rPr>
        <w:t xml:space="preserve">предоставление жилых помещений взамен непригодных для проживания по договору мены с возможностью рассрочки по выплате гражданами разницы между стоимостью предоставляемого жилого помещения и выкупной стоимостью изымаемого непригодного для проживания жилья на срок до 15 лет;</w:t>
      </w:r>
    </w:p>
    <w:p>
      <w:pPr>
        <w:pStyle w:val="0"/>
        <w:spacing w:before="200" w:line-rule="auto"/>
        <w:ind w:firstLine="540"/>
        <w:jc w:val="both"/>
      </w:pPr>
      <w:r>
        <w:rPr>
          <w:sz w:val="20"/>
        </w:rPr>
        <w:t xml:space="preserve">принятие нормативных правовых актов о порядке предоставления адресной поддержки гражданам, переселяемым из аварийного жилищного фонда, с учетом принципа нуждаемости;</w:t>
      </w:r>
    </w:p>
    <w:p>
      <w:pPr>
        <w:pStyle w:val="0"/>
        <w:spacing w:before="200" w:line-rule="auto"/>
        <w:ind w:firstLine="540"/>
        <w:jc w:val="both"/>
      </w:pPr>
      <w:r>
        <w:rPr>
          <w:sz w:val="20"/>
        </w:rPr>
        <w:t xml:space="preserve">формирование эффективных механизмов переселения граждан из аварийного жилищного фонда в наемный жилищный фонд, включая систему региональных операторов для организации строительства и управления наемным жилищным фондом;</w:t>
      </w:r>
    </w:p>
    <w:p>
      <w:pPr>
        <w:pStyle w:val="0"/>
        <w:spacing w:before="200" w:line-rule="auto"/>
        <w:ind w:firstLine="540"/>
        <w:jc w:val="both"/>
      </w:pPr>
      <w:r>
        <w:rPr>
          <w:sz w:val="20"/>
        </w:rPr>
        <w:t xml:space="preserve">совершенствование законодательства Российской Федерации в части расширения границ местности с населенного пункта до муниципальных районов, округов при переселении граждан из аварийного жилищного фонда;</w:t>
      </w:r>
    </w:p>
    <w:p>
      <w:pPr>
        <w:pStyle w:val="0"/>
        <w:spacing w:before="200" w:line-rule="auto"/>
        <w:ind w:firstLine="540"/>
        <w:jc w:val="both"/>
      </w:pPr>
      <w:r>
        <w:rPr>
          <w:sz w:val="20"/>
        </w:rPr>
        <w:t xml:space="preserve">формирование механизмов контроля за соблюдением процедур оценки технического состояния жилищного фонда при признании его аварийным;</w:t>
      </w:r>
    </w:p>
    <w:p>
      <w:pPr>
        <w:pStyle w:val="0"/>
        <w:spacing w:before="200" w:line-rule="auto"/>
        <w:ind w:firstLine="540"/>
        <w:jc w:val="both"/>
      </w:pPr>
      <w:r>
        <w:rPr>
          <w:sz w:val="20"/>
        </w:rPr>
        <w:t xml:space="preserve">нормативное регулирование ответственности собственников объектов капитального строительства за их безопасную эксплуатацию.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переход к системному обновлению населенных пунктов, решающему также задачи повышения качества городской среды, повышения эффективности использования существующей и создания новой инфраструктуры, создания новых рабочих мест, сокращения бюджетных расходов;</w:t>
      </w:r>
    </w:p>
    <w:p>
      <w:pPr>
        <w:pStyle w:val="0"/>
        <w:spacing w:before="200" w:line-rule="auto"/>
        <w:ind w:firstLine="540"/>
        <w:jc w:val="both"/>
      </w:pPr>
      <w:r>
        <w:rPr>
          <w:sz w:val="20"/>
        </w:rPr>
        <w:t xml:space="preserve">реализация региональных программ по переселению граждан из аварийного жилищного фонда в объеме, позволяющем обеспечить сокращение непригодного для проживания жилищного фонда;</w:t>
      </w:r>
    </w:p>
    <w:p>
      <w:pPr>
        <w:pStyle w:val="0"/>
        <w:spacing w:before="200" w:line-rule="auto"/>
        <w:ind w:firstLine="540"/>
        <w:jc w:val="both"/>
      </w:pPr>
      <w:r>
        <w:rPr>
          <w:sz w:val="20"/>
        </w:rPr>
        <w:t xml:space="preserve">создание постоянно действующего механизма финансирования расселения аварийного жилищного фонда за счет внебюджетных источников (средства инвесторов по проектам комплексного развития территорий, заемные средства, плата за наем и др.).</w:t>
      </w:r>
    </w:p>
    <w:p>
      <w:pPr>
        <w:pStyle w:val="0"/>
        <w:jc w:val="both"/>
      </w:pPr>
      <w:r>
        <w:rPr>
          <w:sz w:val="20"/>
        </w:rPr>
      </w:r>
    </w:p>
    <w:p>
      <w:pPr>
        <w:pStyle w:val="2"/>
        <w:outlineLvl w:val="2"/>
        <w:jc w:val="center"/>
      </w:pPr>
      <w:r>
        <w:rPr>
          <w:sz w:val="20"/>
        </w:rPr>
        <w:t xml:space="preserve">Улучшение жилищных условий отдельных категорий граждан</w:t>
      </w:r>
    </w:p>
    <w:p>
      <w:pPr>
        <w:pStyle w:val="0"/>
        <w:jc w:val="both"/>
      </w:pPr>
      <w:r>
        <w:rPr>
          <w:sz w:val="20"/>
        </w:rPr>
      </w:r>
    </w:p>
    <w:p>
      <w:pPr>
        <w:pStyle w:val="0"/>
        <w:ind w:firstLine="540"/>
        <w:jc w:val="both"/>
      </w:pPr>
      <w:r>
        <w:rPr>
          <w:sz w:val="20"/>
        </w:rPr>
        <w:t xml:space="preserve">В рамках государственной </w:t>
      </w:r>
      <w:hyperlink w:history="0" r:id="rId51"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в 2021 году был решен жилищный вопрос 23,9 тыс. семей 16 льготных категорий граждан, в том числе установленных законодательством Российской Федерации, из них 1,9 тыс. инвалидов и семей, имеющих детей-инвалидов, принятых органами местного самоуправления на учет нуждающихся в предоставлении жилых помещений до 1 января 2005 г. Кроме того, по данным Единой государственной информационной системы социального обеспечения, в 2021 году обеспечено жильем порядка 22,5 тыс. детей-сирот.</w:t>
      </w:r>
    </w:p>
    <w:p>
      <w:pPr>
        <w:pStyle w:val="0"/>
        <w:spacing w:before="200" w:line-rule="auto"/>
        <w:ind w:firstLine="540"/>
        <w:jc w:val="both"/>
      </w:pPr>
      <w:r>
        <w:rPr>
          <w:sz w:val="20"/>
        </w:rPr>
        <w:t xml:space="preserve">По состоянию на 1 января 2022 г. на учете нуждающихся в предоставлении жилых помещений (имеющих право на предоставление социальной выплаты) состоят 748,8 тыс. семей, подлежащих обеспечению жильем в рамках указанной государственной </w:t>
      </w:r>
      <w:hyperlink w:history="0" r:id="rId52"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w:t>
      </w:r>
    </w:p>
    <w:p>
      <w:pPr>
        <w:pStyle w:val="0"/>
        <w:spacing w:before="200" w:line-rule="auto"/>
        <w:ind w:firstLine="540"/>
        <w:jc w:val="both"/>
      </w:pPr>
      <w:r>
        <w:rPr>
          <w:sz w:val="20"/>
        </w:rPr>
        <w:t xml:space="preserve">Вызовом является то, что срок ожидания в очереди на улучшение жилищных условий составляет в среднем 25 лет.</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улучшение жилищных условий граждан, перед которыми имеются обязательства государства по обеспечению жильем на 1 января 2022 г., до 2030 года;</w:t>
      </w:r>
    </w:p>
    <w:p>
      <w:pPr>
        <w:pStyle w:val="0"/>
        <w:spacing w:before="200" w:line-rule="auto"/>
        <w:ind w:firstLine="540"/>
        <w:jc w:val="both"/>
      </w:pPr>
      <w:r>
        <w:rPr>
          <w:sz w:val="20"/>
        </w:rPr>
        <w:t xml:space="preserve">завершение до 2025 года мероприятий по обеспечению жильем инвалидов и семей, имеющих детей-инвалидов, и отдельных категорий граждан, проживающих на территории Республики Крым и г. Севастополя.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инвентаризация сформированных очередей на улучшение жилищных условий и создание единого реестра нуждающихся в улучшении жилищных условий граждан;</w:t>
      </w:r>
    </w:p>
    <w:p>
      <w:pPr>
        <w:pStyle w:val="0"/>
        <w:spacing w:before="200" w:line-rule="auto"/>
        <w:ind w:firstLine="540"/>
        <w:jc w:val="both"/>
      </w:pPr>
      <w:r>
        <w:rPr>
          <w:sz w:val="20"/>
        </w:rPr>
        <w:t xml:space="preserve">строительство жилищного фонда социального использования и арендного жилья;</w:t>
      </w:r>
    </w:p>
    <w:p>
      <w:pPr>
        <w:pStyle w:val="0"/>
        <w:spacing w:before="200" w:line-rule="auto"/>
        <w:ind w:firstLine="540"/>
        <w:jc w:val="both"/>
      </w:pPr>
      <w:r>
        <w:rPr>
          <w:sz w:val="20"/>
        </w:rPr>
        <w:t xml:space="preserve">совершенствование законодательства Российской Федерации в сфере обеспечения жильем детей-сирот, в том числе в части внедрения альтернативных способов улучшения жилищных условий детей-сирот;</w:t>
      </w:r>
    </w:p>
    <w:p>
      <w:pPr>
        <w:pStyle w:val="0"/>
        <w:spacing w:before="200" w:line-rule="auto"/>
        <w:ind w:firstLine="540"/>
        <w:jc w:val="both"/>
      </w:pPr>
      <w:r>
        <w:rPr>
          <w:sz w:val="20"/>
        </w:rPr>
        <w:t xml:space="preserve">расширение мер жилищной поддержки граждан, в том числе через инструмент долгосрочной аренды жилых помещений в качестве одного из способов решения жилищного вопроса;</w:t>
      </w:r>
    </w:p>
    <w:p>
      <w:pPr>
        <w:pStyle w:val="0"/>
        <w:spacing w:before="200" w:line-rule="auto"/>
        <w:ind w:firstLine="540"/>
        <w:jc w:val="both"/>
      </w:pPr>
      <w:r>
        <w:rPr>
          <w:sz w:val="20"/>
        </w:rPr>
        <w:t xml:space="preserve">внедрение нового механизма улучшения жилищных условий граждан путем выдачи и использования сертификата на получение социального наемного жилья.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сформирована единая сквозная система учета граждан, нуждающихся в улучшении жилищных условий, и повышена адресность поддержки;</w:t>
      </w:r>
    </w:p>
    <w:p>
      <w:pPr>
        <w:pStyle w:val="0"/>
        <w:spacing w:before="200" w:line-rule="auto"/>
        <w:ind w:firstLine="540"/>
        <w:jc w:val="both"/>
      </w:pPr>
      <w:r>
        <w:rPr>
          <w:sz w:val="20"/>
        </w:rPr>
        <w:t xml:space="preserve">граждане, нуждающиеся в улучшении жилищных условий, имеют возможность проживать в жилом помещении социального использования с регулируемыми и доступными тарифами на проживание;</w:t>
      </w:r>
    </w:p>
    <w:p>
      <w:pPr>
        <w:pStyle w:val="0"/>
        <w:spacing w:before="200" w:line-rule="auto"/>
        <w:ind w:firstLine="540"/>
        <w:jc w:val="both"/>
      </w:pPr>
      <w:r>
        <w:rPr>
          <w:sz w:val="20"/>
        </w:rPr>
        <w:t xml:space="preserve">с 2030 года средний срок ожидания в очереди на улучшение жилищных условий граждан не превышает 5 лет.</w:t>
      </w:r>
    </w:p>
    <w:p>
      <w:pPr>
        <w:pStyle w:val="0"/>
        <w:jc w:val="both"/>
      </w:pPr>
      <w:r>
        <w:rPr>
          <w:sz w:val="20"/>
        </w:rPr>
      </w:r>
    </w:p>
    <w:p>
      <w:pPr>
        <w:pStyle w:val="2"/>
        <w:outlineLvl w:val="2"/>
        <w:jc w:val="center"/>
      </w:pPr>
      <w:r>
        <w:rPr>
          <w:sz w:val="20"/>
        </w:rPr>
        <w:t xml:space="preserve">Развитие рынка арендного жилья коммерческого,</w:t>
      </w:r>
    </w:p>
    <w:p>
      <w:pPr>
        <w:pStyle w:val="2"/>
        <w:jc w:val="center"/>
      </w:pPr>
      <w:r>
        <w:rPr>
          <w:sz w:val="20"/>
        </w:rPr>
        <w:t xml:space="preserve">некоммерческого и социального использования</w:t>
      </w:r>
    </w:p>
    <w:p>
      <w:pPr>
        <w:pStyle w:val="0"/>
        <w:jc w:val="both"/>
      </w:pPr>
      <w:r>
        <w:rPr>
          <w:sz w:val="20"/>
        </w:rPr>
      </w:r>
    </w:p>
    <w:p>
      <w:pPr>
        <w:pStyle w:val="0"/>
        <w:ind w:firstLine="540"/>
        <w:jc w:val="both"/>
      </w:pPr>
      <w:r>
        <w:rPr>
          <w:sz w:val="20"/>
        </w:rPr>
        <w:t xml:space="preserve">Арендное жилье является важным элементом жилищного рынка и позволяет удовлетворять жилищные потребности граждан на определенных стадиях жизненного пути (например, для молодых семей, специалистов, семей, не имеющих достаточно средств для выплаты первоначального взноса), решать задачи обеспечения служебным жильем.</w:t>
      </w:r>
    </w:p>
    <w:p>
      <w:pPr>
        <w:pStyle w:val="0"/>
        <w:spacing w:before="200" w:line-rule="auto"/>
        <w:ind w:firstLine="540"/>
        <w:jc w:val="both"/>
      </w:pPr>
      <w:r>
        <w:rPr>
          <w:sz w:val="20"/>
        </w:rPr>
        <w:t xml:space="preserve">Ключевой характеристикой жилищного фонда Российской Федерации является высокая доля жилья в собственности, в частной собственности находится 93 процента жилья. По итогам 2021 года в Российской Федерации около 7 млн. семей (11 процентов общего числа домохозяйств) арендуют жилье. При этом основу существующего рыночного арендного жилищного фонда составляет жилье, полученное в рамках бесплатной приватизации. Большая часть арендного жилищного фонда находится в "теневом" секторе российской экономики и не приносит доходов в бюджет. Арендное жилье, эксплуатация которого осуществляется институциональными инвесторами, в российской практике практически отсутствует.</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для 30 процентов российских семей приобретение жилья в ипотеку недоступно даже при нулевой ставке ипотечного кредита;</w:t>
      </w:r>
    </w:p>
    <w:p>
      <w:pPr>
        <w:pStyle w:val="0"/>
        <w:spacing w:before="200" w:line-rule="auto"/>
        <w:ind w:firstLine="540"/>
        <w:jc w:val="both"/>
      </w:pPr>
      <w:r>
        <w:rPr>
          <w:sz w:val="20"/>
        </w:rPr>
        <w:t xml:space="preserve">отсутствует рынок аренды жилья, эксплуатация которого осуществляется институциональными инвесторами, и легальный арендный жилищный фонд, при этом доля "теневой" аренды превышает 95 процентов общего объема жилого фонда, сдаваемого в аренду;</w:t>
      </w:r>
    </w:p>
    <w:p>
      <w:pPr>
        <w:pStyle w:val="0"/>
        <w:spacing w:before="200" w:line-rule="auto"/>
        <w:ind w:firstLine="540"/>
        <w:jc w:val="both"/>
      </w:pPr>
      <w:r>
        <w:rPr>
          <w:sz w:val="20"/>
        </w:rPr>
        <w:t xml:space="preserve">отсутствует сегмент некоммерческой аренды для семей с доходами ниже средних, который формируется частными инвесторами при поддержке государства;</w:t>
      </w:r>
    </w:p>
    <w:p>
      <w:pPr>
        <w:pStyle w:val="0"/>
        <w:spacing w:before="200" w:line-rule="auto"/>
        <w:ind w:firstLine="540"/>
        <w:jc w:val="both"/>
      </w:pPr>
      <w:r>
        <w:rPr>
          <w:sz w:val="20"/>
        </w:rPr>
        <w:t xml:space="preserve">жилищный фонд, предоставляемый по договорам социального найма, ограничен и выбывает в результате его бесплатной приватизации.</w:t>
      </w:r>
    </w:p>
    <w:p>
      <w:pPr>
        <w:pStyle w:val="0"/>
        <w:spacing w:before="200" w:line-rule="auto"/>
        <w:ind w:firstLine="540"/>
        <w:jc w:val="both"/>
      </w:pPr>
      <w:r>
        <w:rPr>
          <w:sz w:val="20"/>
        </w:rPr>
        <w:t xml:space="preserve">Задачей является улучшение жилищных условий граждан за счет формирования доступного рынка арендного жилья:</w:t>
      </w:r>
    </w:p>
    <w:p>
      <w:pPr>
        <w:pStyle w:val="0"/>
        <w:spacing w:before="200" w:line-rule="auto"/>
        <w:ind w:firstLine="540"/>
        <w:jc w:val="both"/>
      </w:pPr>
      <w:r>
        <w:rPr>
          <w:sz w:val="20"/>
        </w:rPr>
        <w:t xml:space="preserve">коммерческого - для семей с доходами не ниже средних;</w:t>
      </w:r>
    </w:p>
    <w:p>
      <w:pPr>
        <w:pStyle w:val="0"/>
        <w:spacing w:before="200" w:line-rule="auto"/>
        <w:ind w:firstLine="540"/>
        <w:jc w:val="both"/>
      </w:pPr>
      <w:r>
        <w:rPr>
          <w:sz w:val="20"/>
        </w:rPr>
        <w:t xml:space="preserve">некоммерческого - для отдельных категорий семей с доходами ниже средних;</w:t>
      </w:r>
    </w:p>
    <w:p>
      <w:pPr>
        <w:pStyle w:val="0"/>
        <w:spacing w:before="200" w:line-rule="auto"/>
        <w:ind w:firstLine="540"/>
        <w:jc w:val="both"/>
      </w:pPr>
      <w:r>
        <w:rPr>
          <w:sz w:val="20"/>
        </w:rPr>
        <w:t xml:space="preserve">социального (государственного и муниципального) - для отдельных категорий семей с низкими доходами.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правового регулирования сферы строительства арендного жилья коммерческого, некоммерческого и социального использования;</w:t>
      </w:r>
    </w:p>
    <w:p>
      <w:pPr>
        <w:pStyle w:val="0"/>
        <w:spacing w:before="200" w:line-rule="auto"/>
        <w:ind w:firstLine="540"/>
        <w:jc w:val="both"/>
      </w:pPr>
      <w:r>
        <w:rPr>
          <w:sz w:val="20"/>
        </w:rPr>
        <w:t xml:space="preserve">повышение прозрачности рынка арендного жилья путем создания цифровых инструментов в сфере аренды жилья;</w:t>
      </w:r>
    </w:p>
    <w:p>
      <w:pPr>
        <w:pStyle w:val="0"/>
        <w:spacing w:before="200" w:line-rule="auto"/>
        <w:ind w:firstLine="540"/>
        <w:jc w:val="both"/>
      </w:pPr>
      <w:r>
        <w:rPr>
          <w:sz w:val="20"/>
        </w:rPr>
        <w:t xml:space="preserve">создание механизмов поддержки проектов коммерческой аренды, предусматривающих предоставление ипотечных кредитов для строительства арендного жилья;</w:t>
      </w:r>
    </w:p>
    <w:p>
      <w:pPr>
        <w:pStyle w:val="0"/>
        <w:spacing w:before="200" w:line-rule="auto"/>
        <w:ind w:firstLine="540"/>
        <w:jc w:val="both"/>
      </w:pPr>
      <w:r>
        <w:rPr>
          <w:sz w:val="20"/>
        </w:rPr>
        <w:t xml:space="preserve">использование механизмов государственно-частного партнерства в целях формирования жилищного фонда социального использования и арендного жилья;</w:t>
      </w:r>
    </w:p>
    <w:p>
      <w:pPr>
        <w:pStyle w:val="0"/>
        <w:spacing w:before="200" w:line-rule="auto"/>
        <w:ind w:firstLine="540"/>
        <w:jc w:val="both"/>
      </w:pPr>
      <w:r>
        <w:rPr>
          <w:sz w:val="20"/>
        </w:rPr>
        <w:t xml:space="preserve">предоставление земельных участков для строительства арендного жилья на льготных условиях;</w:t>
      </w:r>
    </w:p>
    <w:p>
      <w:pPr>
        <w:pStyle w:val="0"/>
        <w:spacing w:before="200" w:line-rule="auto"/>
        <w:ind w:firstLine="540"/>
        <w:jc w:val="both"/>
      </w:pPr>
      <w:r>
        <w:rPr>
          <w:sz w:val="20"/>
        </w:rPr>
        <w:t xml:space="preserve">расширение мер жилищной поддержки граждан через инструмент долгосрочной аренды жилых помещений в качестве одного из способов решения жилищного вопроса;</w:t>
      </w:r>
    </w:p>
    <w:p>
      <w:pPr>
        <w:pStyle w:val="0"/>
        <w:spacing w:before="200" w:line-rule="auto"/>
        <w:ind w:firstLine="540"/>
        <w:jc w:val="both"/>
      </w:pPr>
      <w:r>
        <w:rPr>
          <w:sz w:val="20"/>
        </w:rPr>
        <w:t xml:space="preserve">введение мер стимулирования инвесторов для создания арендного жилищного фонда;</w:t>
      </w:r>
    </w:p>
    <w:p>
      <w:pPr>
        <w:pStyle w:val="0"/>
        <w:spacing w:before="200" w:line-rule="auto"/>
        <w:ind w:firstLine="540"/>
        <w:jc w:val="both"/>
      </w:pPr>
      <w:r>
        <w:rPr>
          <w:sz w:val="20"/>
        </w:rPr>
        <w:t xml:space="preserve">внедрение механизма улучшения жилищных условий граждан путем выдачи и использования сертификата на получение арендного жилья социального использования или оплату аренды.</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сформировано правовое регулирование сферы арендного жилья коммерческого, некоммерческого и социального использования;</w:t>
      </w:r>
    </w:p>
    <w:p>
      <w:pPr>
        <w:pStyle w:val="0"/>
        <w:spacing w:before="200" w:line-rule="auto"/>
        <w:ind w:firstLine="540"/>
        <w:jc w:val="both"/>
      </w:pPr>
      <w:r>
        <w:rPr>
          <w:sz w:val="20"/>
        </w:rPr>
        <w:t xml:space="preserve">созданы механизмы финансирования проектов строительства арендного жилья;</w:t>
      </w:r>
    </w:p>
    <w:p>
      <w:pPr>
        <w:pStyle w:val="0"/>
        <w:spacing w:before="200" w:line-rule="auto"/>
        <w:ind w:firstLine="540"/>
        <w:jc w:val="both"/>
      </w:pPr>
      <w:r>
        <w:rPr>
          <w:sz w:val="20"/>
        </w:rPr>
        <w:t xml:space="preserve">обеспечен ежегодный объем строительства арендного жилья до 5 млн. кв. метров.</w:t>
      </w:r>
    </w:p>
    <w:p>
      <w:pPr>
        <w:pStyle w:val="0"/>
        <w:jc w:val="both"/>
      </w:pPr>
      <w:r>
        <w:rPr>
          <w:sz w:val="20"/>
        </w:rPr>
      </w:r>
    </w:p>
    <w:p>
      <w:pPr>
        <w:pStyle w:val="2"/>
        <w:outlineLvl w:val="1"/>
        <w:jc w:val="center"/>
      </w:pPr>
      <w:r>
        <w:rPr>
          <w:sz w:val="20"/>
        </w:rPr>
        <w:t xml:space="preserve">V. Новый ритм строительства</w:t>
      </w:r>
    </w:p>
    <w:p>
      <w:pPr>
        <w:pStyle w:val="0"/>
        <w:jc w:val="both"/>
      </w:pPr>
      <w:r>
        <w:rPr>
          <w:sz w:val="20"/>
        </w:rPr>
      </w:r>
    </w:p>
    <w:p>
      <w:pPr>
        <w:pStyle w:val="2"/>
        <w:outlineLvl w:val="2"/>
        <w:jc w:val="center"/>
      </w:pPr>
      <w:r>
        <w:rPr>
          <w:sz w:val="20"/>
        </w:rPr>
        <w:t xml:space="preserve">1. Сокращение инвестиционно-строительного цикла</w:t>
      </w:r>
    </w:p>
    <w:p>
      <w:pPr>
        <w:pStyle w:val="0"/>
        <w:jc w:val="both"/>
      </w:pPr>
      <w:r>
        <w:rPr>
          <w:sz w:val="20"/>
        </w:rPr>
      </w:r>
    </w:p>
    <w:p>
      <w:pPr>
        <w:pStyle w:val="2"/>
        <w:outlineLvl w:val="3"/>
        <w:jc w:val="center"/>
      </w:pPr>
      <w:r>
        <w:rPr>
          <w:sz w:val="20"/>
        </w:rPr>
        <w:t xml:space="preserve">Административная трансформация</w:t>
      </w:r>
    </w:p>
    <w:p>
      <w:pPr>
        <w:pStyle w:val="0"/>
        <w:jc w:val="both"/>
      </w:pPr>
      <w:r>
        <w:rPr>
          <w:sz w:val="20"/>
        </w:rPr>
      </w:r>
    </w:p>
    <w:p>
      <w:pPr>
        <w:pStyle w:val="0"/>
        <w:ind w:firstLine="540"/>
        <w:jc w:val="both"/>
      </w:pPr>
      <w:r>
        <w:rPr>
          <w:sz w:val="20"/>
        </w:rPr>
        <w:t xml:space="preserve">Сегодня строительная отрасль сталкивается с вызовами, преодолев которые можно значительно повысить ее эффективность и увеличить вклад в экономику страны. Существенное повышение эффективности использования средств, вовлеченных в инвестиционно-строительный цикл, возможно за счет системных мер совершенствования нормативно-правового регулирования отрасли.</w:t>
      </w:r>
    </w:p>
    <w:p>
      <w:pPr>
        <w:pStyle w:val="0"/>
        <w:spacing w:before="200" w:line-rule="auto"/>
        <w:ind w:firstLine="540"/>
        <w:jc w:val="both"/>
      </w:pPr>
      <w:r>
        <w:rPr>
          <w:sz w:val="20"/>
        </w:rPr>
        <w:t xml:space="preserve">В 2021 году изменениями в законодательство о градостроительной деятельности установлен закрытый универсальный перечень этапов и мероприятий реализации проекта по строительству объекта капитального строительства. Ранее такие этапы и мероприятия устанавливались в исчерпывающих перечнях процедур применительно к различным объектам капитального строительства. Например, в жилищном строительстве нужно было осуществить более 90 процедур в зависимости от вида объекта капитального строительства. Сегодня для объектов капитального строительства всех видов установлен универсальный перечень из 32 мероприятий, осуществляемых при реализации проектов по строительству объектов капитального строительства.</w:t>
      </w:r>
    </w:p>
    <w:p>
      <w:pPr>
        <w:pStyle w:val="0"/>
        <w:spacing w:before="200" w:line-rule="auto"/>
        <w:ind w:firstLine="540"/>
        <w:jc w:val="both"/>
      </w:pPr>
      <w:r>
        <w:rPr>
          <w:sz w:val="20"/>
        </w:rPr>
        <w:t xml:space="preserve">Для всех субъектов Российской Федерации исключается возможность установления дополнительных мероприятий, не предусмотренных нормативными правовыми актами Российской Федерации.</w:t>
      </w:r>
    </w:p>
    <w:p>
      <w:pPr>
        <w:pStyle w:val="0"/>
        <w:spacing w:before="200" w:line-rule="auto"/>
        <w:ind w:firstLine="540"/>
        <w:jc w:val="both"/>
      </w:pPr>
      <w:r>
        <w:rPr>
          <w:sz w:val="20"/>
        </w:rPr>
        <w:t xml:space="preserve">Также в 2021 году Правительством Российской Федерации утвержден исчерпывающий перечень документов, сведений, материалов, согласований, предусмотренных нормативными правовыми актами и необходимых застройщику, техническому заказчику для реализации проекта по строительству объектов капитального строительства (далее - перечень), предусматривающий 989 позиций. В 2022 году перечень сокращен до 751 позиции.</w:t>
      </w:r>
    </w:p>
    <w:p>
      <w:pPr>
        <w:pStyle w:val="0"/>
        <w:spacing w:before="200" w:line-rule="auto"/>
        <w:ind w:firstLine="540"/>
        <w:jc w:val="both"/>
      </w:pPr>
      <w:r>
        <w:rPr>
          <w:sz w:val="20"/>
        </w:rPr>
        <w:t xml:space="preserve">При этом за предъявление требований о получении дополнительных документов, не предусмотренных перечнем, установлена административная ответственность. Полномочиями по контролю за соблюдением новых требований наделена Федеральная антимонопольная служба.</w:t>
      </w:r>
    </w:p>
    <w:p>
      <w:pPr>
        <w:pStyle w:val="0"/>
        <w:spacing w:before="200" w:line-rule="auto"/>
        <w:ind w:firstLine="540"/>
        <w:jc w:val="both"/>
      </w:pPr>
      <w:r>
        <w:rPr>
          <w:sz w:val="20"/>
        </w:rPr>
        <w:t xml:space="preserve">Кроме того, реализуется инициатива социально-экономического развития Российской Федерации "Реинжиниринг правил промышленного строительства", в рамках которой организована работа по сокращению излишних требований и согласований при строительстве объектов капитального строительства производственного назначения.</w:t>
      </w:r>
    </w:p>
    <w:p>
      <w:pPr>
        <w:pStyle w:val="0"/>
        <w:spacing w:before="200" w:line-rule="auto"/>
        <w:ind w:firstLine="540"/>
        <w:jc w:val="both"/>
      </w:pPr>
      <w:r>
        <w:rPr>
          <w:sz w:val="20"/>
        </w:rPr>
        <w:t xml:space="preserve">Также в 2021 - 2022 годах завершен очередной этап унификации правил подключения (технологического присоединения) к сетям инженерно-технического обеспечения, приняты прозрачные правила переноса (выноса) сетей инженерно-технического обеспечения, предусматривающие баланс интересов застройщиков и сетевых организаций.</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избыточное количество документов, сведений, материалов, согласований;</w:t>
      </w:r>
    </w:p>
    <w:p>
      <w:pPr>
        <w:pStyle w:val="0"/>
        <w:spacing w:before="200" w:line-rule="auto"/>
        <w:ind w:firstLine="540"/>
        <w:jc w:val="both"/>
      </w:pPr>
      <w:r>
        <w:rPr>
          <w:sz w:val="20"/>
        </w:rPr>
        <w:t xml:space="preserve">около 50 процентов общих сроков инвестиционно-строительного цикла занимает прохождение бюрократических процедур;</w:t>
      </w:r>
    </w:p>
    <w:p>
      <w:pPr>
        <w:pStyle w:val="0"/>
        <w:spacing w:before="200" w:line-rule="auto"/>
        <w:ind w:firstLine="540"/>
        <w:jc w:val="both"/>
      </w:pPr>
      <w:r>
        <w:rPr>
          <w:sz w:val="20"/>
        </w:rPr>
        <w:t xml:space="preserve">дублирование предоставления застройщиком одной и той же информации в различные ведомства на разных этапах строительства.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оптимизация процедуры, сокращение сроков инвестиционно-строительного цикла строительства объектов капитального строительства, включая промышленные объекты;</w:t>
      </w:r>
    </w:p>
    <w:p>
      <w:pPr>
        <w:pStyle w:val="0"/>
        <w:spacing w:before="200" w:line-rule="auto"/>
        <w:ind w:firstLine="540"/>
        <w:jc w:val="both"/>
      </w:pPr>
      <w:r>
        <w:rPr>
          <w:sz w:val="20"/>
        </w:rPr>
        <w:t xml:space="preserve">снижение административной нагрузки на строительный бизнес, в том числе за счет совершенствования условий и сокращения сроков подключения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сокращение и алгоритмизация исчерпывающего перечня;</w:t>
      </w:r>
    </w:p>
    <w:p>
      <w:pPr>
        <w:pStyle w:val="0"/>
        <w:spacing w:before="200" w:line-rule="auto"/>
        <w:ind w:firstLine="540"/>
        <w:jc w:val="both"/>
      </w:pPr>
      <w:r>
        <w:rPr>
          <w:sz w:val="20"/>
        </w:rPr>
        <w:t xml:space="preserve">сокращение и оптимизация излишних и устаревших требований и согласований в строительстве, предусмотренных ведомственными актами, актами субъектов Российской Федерации и муниципальными правовыми актами, с учетом применения принципов административной трансформации:</w:t>
      </w:r>
    </w:p>
    <w:p>
      <w:pPr>
        <w:pStyle w:val="0"/>
        <w:spacing w:before="200" w:line-rule="auto"/>
        <w:ind w:firstLine="540"/>
        <w:jc w:val="both"/>
      </w:pPr>
      <w:r>
        <w:rPr>
          <w:sz w:val="20"/>
        </w:rPr>
        <w:t xml:space="preserve">"нет регламента - нет процедуры";</w:t>
      </w:r>
    </w:p>
    <w:p>
      <w:pPr>
        <w:pStyle w:val="0"/>
        <w:spacing w:before="200" w:line-rule="auto"/>
        <w:ind w:firstLine="540"/>
        <w:jc w:val="both"/>
      </w:pPr>
      <w:r>
        <w:rPr>
          <w:sz w:val="20"/>
        </w:rPr>
        <w:t xml:space="preserve">"не описан предмет и (или) нет оснований для отказа - нет процедуры";</w:t>
      </w:r>
    </w:p>
    <w:p>
      <w:pPr>
        <w:pStyle w:val="0"/>
        <w:spacing w:before="200" w:line-rule="auto"/>
        <w:ind w:firstLine="540"/>
        <w:jc w:val="both"/>
      </w:pPr>
      <w:r>
        <w:rPr>
          <w:sz w:val="20"/>
        </w:rPr>
        <w:t xml:space="preserve">"нет срока - нет процедуры";</w:t>
      </w:r>
    </w:p>
    <w:p>
      <w:pPr>
        <w:pStyle w:val="0"/>
        <w:spacing w:before="200" w:line-rule="auto"/>
        <w:ind w:firstLine="540"/>
        <w:jc w:val="both"/>
      </w:pPr>
      <w:r>
        <w:rPr>
          <w:sz w:val="20"/>
        </w:rPr>
        <w:t xml:space="preserve">"один предмет - одна процедура" (исключение дублирующих друг друга процедур);</w:t>
      </w:r>
    </w:p>
    <w:p>
      <w:pPr>
        <w:pStyle w:val="0"/>
        <w:spacing w:before="200" w:line-rule="auto"/>
        <w:ind w:firstLine="540"/>
        <w:jc w:val="both"/>
      </w:pPr>
      <w:r>
        <w:rPr>
          <w:sz w:val="20"/>
        </w:rPr>
        <w:t xml:space="preserve">"нет влияния на результат - нет процедуры" (исключение избыточных и устаревших процедур);</w:t>
      </w:r>
    </w:p>
    <w:p>
      <w:pPr>
        <w:pStyle w:val="0"/>
        <w:spacing w:before="200" w:line-rule="auto"/>
        <w:ind w:firstLine="540"/>
        <w:jc w:val="both"/>
      </w:pPr>
      <w:r>
        <w:rPr>
          <w:sz w:val="20"/>
        </w:rPr>
        <w:t xml:space="preserve">построение "клиентского пути" инвестора и определение "целевых моделей" для разных видов объектов капитального строительства в целях достижения комплексного эффекта по уменьшению сроков и издержек строительства;</w:t>
      </w:r>
    </w:p>
    <w:p>
      <w:pPr>
        <w:pStyle w:val="0"/>
        <w:spacing w:before="200" w:line-rule="auto"/>
        <w:ind w:firstLine="540"/>
        <w:jc w:val="both"/>
      </w:pPr>
      <w:r>
        <w:rPr>
          <w:sz w:val="20"/>
        </w:rPr>
        <w:t xml:space="preserve">обеспечение возможности предоставления ряда услуг и функций в электронном виде (в том числе объединенных жизненной ситуацией и предоставляемых в автоматическом режиме);</w:t>
      </w:r>
    </w:p>
    <w:p>
      <w:pPr>
        <w:pStyle w:val="0"/>
        <w:spacing w:before="200" w:line-rule="auto"/>
        <w:ind w:firstLine="540"/>
        <w:jc w:val="both"/>
      </w:pPr>
      <w:r>
        <w:rPr>
          <w:sz w:val="20"/>
        </w:rPr>
        <w:t xml:space="preserve">внедрение принципа оказания комплексных услуг, при котором в рамках одного заявления возможно получить несколько услуг;</w:t>
      </w:r>
    </w:p>
    <w:p>
      <w:pPr>
        <w:pStyle w:val="0"/>
        <w:spacing w:before="200" w:line-rule="auto"/>
        <w:ind w:firstLine="540"/>
        <w:jc w:val="both"/>
      </w:pPr>
      <w:r>
        <w:rPr>
          <w:sz w:val="20"/>
        </w:rPr>
        <w:t xml:space="preserve">проработка возможности сокращения сроков подключения объектов капитального строительства к сетям инженерно-технического обеспечения и совершенствования регулирования в целях снижения административной нагрузки на застройщиков и сокращения сроков реализации инвестиционно-строительных проектов.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инвестиционно-строительный цикл строительства объектов капитального строительства сокращен на 30 процентов (относительно 2019 года) без снижения безопасности и качества строительства;</w:t>
      </w:r>
    </w:p>
    <w:p>
      <w:pPr>
        <w:pStyle w:val="0"/>
        <w:spacing w:before="200" w:line-rule="auto"/>
        <w:ind w:firstLine="540"/>
        <w:jc w:val="both"/>
      </w:pPr>
      <w:r>
        <w:rPr>
          <w:sz w:val="20"/>
        </w:rPr>
        <w:t xml:space="preserve">сокращено количество документов, сведений, материалов, согласований в строительстве не менее чем в 2 раза;</w:t>
      </w:r>
    </w:p>
    <w:p>
      <w:pPr>
        <w:pStyle w:val="0"/>
        <w:spacing w:before="200" w:line-rule="auto"/>
        <w:ind w:firstLine="540"/>
        <w:jc w:val="both"/>
      </w:pPr>
      <w:r>
        <w:rPr>
          <w:sz w:val="20"/>
        </w:rPr>
        <w:t xml:space="preserve">от выбора земельного участка до начала эксплуатации объекта капитального строительства необходимо осуществить не более 100 действий;</w:t>
      </w:r>
    </w:p>
    <w:p>
      <w:pPr>
        <w:pStyle w:val="0"/>
        <w:spacing w:before="200" w:line-rule="auto"/>
        <w:ind w:firstLine="540"/>
        <w:jc w:val="both"/>
      </w:pPr>
      <w:r>
        <w:rPr>
          <w:sz w:val="20"/>
        </w:rPr>
        <w:t xml:space="preserve">снижена административная нагрузка на застройщиков в части подключения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сокращены сроки строительства групп промышленных объектов на 40 процентов к 2030 году по отношению к 2020 году;</w:t>
      </w:r>
    </w:p>
    <w:p>
      <w:pPr>
        <w:pStyle w:val="0"/>
        <w:spacing w:before="200" w:line-rule="auto"/>
        <w:ind w:firstLine="540"/>
        <w:jc w:val="both"/>
      </w:pPr>
      <w:r>
        <w:rPr>
          <w:sz w:val="20"/>
        </w:rPr>
        <w:t xml:space="preserve">сформировано единое информационное пространство отрасли строительства, предназначенное для внедрения технологий полностью безбумажного, открытого и прозрачного взаимодействия участников градостроительной деятельности на всех этапах жизненного цикла объекта капитального строительства;</w:t>
      </w:r>
    </w:p>
    <w:p>
      <w:pPr>
        <w:pStyle w:val="0"/>
        <w:spacing w:before="200" w:line-rule="auto"/>
        <w:ind w:firstLine="540"/>
        <w:jc w:val="both"/>
      </w:pPr>
      <w:r>
        <w:rPr>
          <w:sz w:val="20"/>
        </w:rPr>
        <w:t xml:space="preserve">строительная отрасль стала клиентоориентированной.</w:t>
      </w:r>
    </w:p>
    <w:p>
      <w:pPr>
        <w:pStyle w:val="0"/>
        <w:jc w:val="both"/>
      </w:pPr>
      <w:r>
        <w:rPr>
          <w:sz w:val="20"/>
        </w:rPr>
      </w:r>
    </w:p>
    <w:p>
      <w:pPr>
        <w:pStyle w:val="2"/>
        <w:outlineLvl w:val="3"/>
        <w:jc w:val="center"/>
      </w:pPr>
      <w:r>
        <w:rPr>
          <w:sz w:val="20"/>
        </w:rPr>
        <w:t xml:space="preserve">Совершенствование системы технического регулирования</w:t>
      </w:r>
    </w:p>
    <w:p>
      <w:pPr>
        <w:pStyle w:val="0"/>
        <w:jc w:val="both"/>
      </w:pPr>
      <w:r>
        <w:rPr>
          <w:sz w:val="20"/>
        </w:rPr>
      </w:r>
    </w:p>
    <w:p>
      <w:pPr>
        <w:pStyle w:val="0"/>
        <w:ind w:firstLine="540"/>
        <w:jc w:val="both"/>
      </w:pPr>
      <w:r>
        <w:rPr>
          <w:sz w:val="20"/>
        </w:rPr>
        <w:t xml:space="preserve">Нормативная правовая база системы технического регулирования в настоящее время характеризуется отсутствием системного подхода, наличием предписывающих норм, многочисленного дублирования и противоречий в регулировании процессов проектирования, строительства и эксплуатации объектов капитального строительства.</w:t>
      </w:r>
    </w:p>
    <w:p>
      <w:pPr>
        <w:pStyle w:val="0"/>
        <w:spacing w:before="200" w:line-rule="auto"/>
        <w:ind w:firstLine="540"/>
        <w:jc w:val="both"/>
      </w:pPr>
      <w:r>
        <w:rPr>
          <w:sz w:val="20"/>
        </w:rPr>
        <w:t xml:space="preserve">Устаревшая по структуре и принципу формирования, не соответствующая в полной мере современному техническому уровню, содержащая противоречивые и дублирующие документы база нормативно-технических требований тормозит инновационные процессы в строительстве, создает неоправданные административные технические барьеры для всех участников инвестиционно-строительного цикла, препятствует оперативному внедрению в практику строительства новых материалов и технологий.</w:t>
      </w:r>
    </w:p>
    <w:p>
      <w:pPr>
        <w:pStyle w:val="0"/>
        <w:spacing w:before="200" w:line-rule="auto"/>
        <w:ind w:firstLine="540"/>
        <w:jc w:val="both"/>
      </w:pPr>
      <w:r>
        <w:rPr>
          <w:sz w:val="20"/>
        </w:rPr>
        <w:t xml:space="preserve">За 2020 - 2022 годы реализован ряд мер по сокращению избыточных устаревших норм. Около 10500 требований в строительстве переведены из статуса обязательных в статус добровольных. Общее число обязательных требований сохраняется на уровне 380. В целях внедрения оптимальных строительных решений создан механизм оперативного закрепления однотипных технических решений - специальных технических условий в нормативно-технических документах ("2 СТУ = норма") путем сокращения сроков процедур корректировки сводов правил.</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несовершенная нормативная правовая база технического регулирования, сдерживающая внедрение передовых технологий и материалов;</w:t>
      </w:r>
    </w:p>
    <w:p>
      <w:pPr>
        <w:pStyle w:val="0"/>
        <w:spacing w:before="200" w:line-rule="auto"/>
        <w:ind w:firstLine="540"/>
        <w:jc w:val="both"/>
      </w:pPr>
      <w:r>
        <w:rPr>
          <w:sz w:val="20"/>
        </w:rPr>
        <w:t xml:space="preserve">несоразмерность отдельных действующих нормативных требований с потенциальным риском причинения вреда в сферах механической, санитарно-эпидемиологической, экологической безопасности;</w:t>
      </w:r>
    </w:p>
    <w:p>
      <w:pPr>
        <w:pStyle w:val="0"/>
        <w:spacing w:before="200" w:line-rule="auto"/>
        <w:ind w:firstLine="540"/>
        <w:jc w:val="both"/>
      </w:pPr>
      <w:r>
        <w:rPr>
          <w:sz w:val="20"/>
        </w:rPr>
        <w:t xml:space="preserve">отсутствие взаимной согласованности, дублирование и противоречие нормативных технических документов, разрабатываемых разными ведомствами;</w:t>
      </w:r>
    </w:p>
    <w:p>
      <w:pPr>
        <w:pStyle w:val="0"/>
        <w:spacing w:before="200" w:line-rule="auto"/>
        <w:ind w:firstLine="540"/>
        <w:jc w:val="both"/>
      </w:pPr>
      <w:r>
        <w:rPr>
          <w:sz w:val="20"/>
        </w:rPr>
        <w:t xml:space="preserve">несовершенство законодательно установленной системы регламентации этапов жизненного цикла объекта капитального строительства, отсутствие целостной системы оценки технических решений на различных этапах жизненного цикла (особенно на этапе эксплуатации);</w:t>
      </w:r>
    </w:p>
    <w:p>
      <w:pPr>
        <w:pStyle w:val="0"/>
        <w:spacing w:before="200" w:line-rule="auto"/>
        <w:ind w:firstLine="540"/>
        <w:jc w:val="both"/>
      </w:pPr>
      <w:r>
        <w:rPr>
          <w:sz w:val="20"/>
        </w:rPr>
        <w:t xml:space="preserve">ограничение области применения сводов правил, отсутствие понятного механизма применения обязательных и добровольных требований;</w:t>
      </w:r>
    </w:p>
    <w:p>
      <w:pPr>
        <w:pStyle w:val="0"/>
        <w:spacing w:before="200" w:line-rule="auto"/>
        <w:ind w:firstLine="540"/>
        <w:jc w:val="both"/>
      </w:pPr>
      <w:r>
        <w:rPr>
          <w:sz w:val="20"/>
        </w:rPr>
        <w:t xml:space="preserve">отсутствие быстрого, упрощенного порядка вывода на рынок новых строительных ресурсов (в том числе зарубежного производства).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переход от предписывающего метода нормирования к параметрическому методу нормирования, обеспечивающему максимально быстрое внедрение инноваций при гарантированном соблюдении безопасности технических решений;</w:t>
      </w:r>
    </w:p>
    <w:p>
      <w:pPr>
        <w:pStyle w:val="0"/>
        <w:spacing w:before="200" w:line-rule="auto"/>
        <w:ind w:firstLine="540"/>
        <w:jc w:val="both"/>
      </w:pPr>
      <w:r>
        <w:rPr>
          <w:sz w:val="20"/>
        </w:rPr>
        <w:t xml:space="preserve">внедрение реестрового принципа разработки технических требований в сфере строительства путем формирования целостной системы нормативных документов, устанавливающей единые обязательные требования к проектированию, строительству и эксплуатации объекта капитального строительства и исключающей противоречия нормативных правовых и нормативных технических документов;</w:t>
      </w:r>
    </w:p>
    <w:p>
      <w:pPr>
        <w:pStyle w:val="0"/>
        <w:spacing w:before="200" w:line-rule="auto"/>
        <w:ind w:firstLine="540"/>
        <w:jc w:val="both"/>
      </w:pPr>
      <w:r>
        <w:rPr>
          <w:sz w:val="20"/>
        </w:rPr>
        <w:t xml:space="preserve">внедрение инновационных, энергоэффективных и экологичных технологий, в том числе развитие технологий модульного строительства, внедрение аддитивных технологий в строительстве и технологий "умный дом", расширение области применения нетрадиционных строительных конструкций из дерева и стали, развитие деревянного домостроения;</w:t>
      </w:r>
    </w:p>
    <w:p>
      <w:pPr>
        <w:pStyle w:val="0"/>
        <w:spacing w:before="200" w:line-rule="auto"/>
        <w:ind w:firstLine="540"/>
        <w:jc w:val="both"/>
      </w:pPr>
      <w:r>
        <w:rPr>
          <w:sz w:val="20"/>
        </w:rPr>
        <w:t xml:space="preserve">выход строительных услуг на рынки государств - участников стран Евразийского экономического союза, а также повышение конкурентоспособности строительных материалов и услуг на международном рынке;</w:t>
      </w:r>
    </w:p>
    <w:p>
      <w:pPr>
        <w:pStyle w:val="0"/>
        <w:spacing w:before="200" w:line-rule="auto"/>
        <w:ind w:firstLine="540"/>
        <w:jc w:val="both"/>
      </w:pPr>
      <w:r>
        <w:rPr>
          <w:sz w:val="20"/>
        </w:rPr>
        <w:t xml:space="preserve">оптимизация отдельных требований санитарно-эпидемиологических, экологических норм;</w:t>
      </w:r>
    </w:p>
    <w:p>
      <w:pPr>
        <w:pStyle w:val="0"/>
        <w:spacing w:before="200" w:line-rule="auto"/>
        <w:ind w:firstLine="540"/>
        <w:jc w:val="both"/>
      </w:pPr>
      <w:r>
        <w:rPr>
          <w:sz w:val="20"/>
        </w:rPr>
        <w:t xml:space="preserve">упрощение порядка подтверждения пригодности новой продукции и ее использования, сокращение сроков вывода на рынок новой продукции.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пересмотр нормативной правовой базы в целях перехода от предписывающего к параметрическому методу нормирования, а также развитие альтернативных способов и механизмов обоснования соответствия проектных значений и характеристик здания или сооружения требованиям безопасности;</w:t>
      </w:r>
    </w:p>
    <w:p>
      <w:pPr>
        <w:pStyle w:val="0"/>
        <w:spacing w:before="200" w:line-rule="auto"/>
        <w:ind w:firstLine="540"/>
        <w:jc w:val="both"/>
      </w:pPr>
      <w:r>
        <w:rPr>
          <w:sz w:val="20"/>
        </w:rPr>
        <w:t xml:space="preserve">реализация реестрового принципа формирования всех обязательных нормативных технических требований в сфере строительства, создание системы управления требованиями безопасности и качества объектов капитального строительства на основе цифрового реестра требований в строительной отрасли, предоставление Министерству строительства и жилищно-коммунального хозяйства Российской Федерации полномочий по созданию и ведению такого реестра;</w:t>
      </w:r>
    </w:p>
    <w:p>
      <w:pPr>
        <w:pStyle w:val="0"/>
        <w:spacing w:before="200" w:line-rule="auto"/>
        <w:ind w:firstLine="540"/>
        <w:jc w:val="both"/>
      </w:pPr>
      <w:r>
        <w:rPr>
          <w:sz w:val="20"/>
        </w:rPr>
        <w:t xml:space="preserve">устранение излишних, противоречивых, дублирующих нормативных технических требований в строительстве, перевод нормативных технических документов в машиночитаемый и машинопонимаемый форматы;</w:t>
      </w:r>
    </w:p>
    <w:p>
      <w:pPr>
        <w:pStyle w:val="0"/>
        <w:spacing w:before="200" w:line-rule="auto"/>
        <w:ind w:firstLine="540"/>
        <w:jc w:val="both"/>
      </w:pPr>
      <w:r>
        <w:rPr>
          <w:sz w:val="20"/>
        </w:rPr>
        <w:t xml:space="preserve">регулярная актуализация нормативных технических документов, а также разработка новых нормативных технических документов с учетом необходимости применения при строительстве объектов капитального строительства передовых технологий и материалов, в том числе энергоэффективных и экологичных;</w:t>
      </w:r>
    </w:p>
    <w:p>
      <w:pPr>
        <w:pStyle w:val="0"/>
        <w:spacing w:before="200" w:line-rule="auto"/>
        <w:ind w:firstLine="540"/>
        <w:jc w:val="both"/>
      </w:pPr>
      <w:r>
        <w:rPr>
          <w:sz w:val="20"/>
        </w:rPr>
        <w:t xml:space="preserve">создание системы нормативных технических документов в сегменте модульного строительства, оптимизация системы оценки соответствия для модульных решений;</w:t>
      </w:r>
    </w:p>
    <w:p>
      <w:pPr>
        <w:pStyle w:val="0"/>
        <w:spacing w:before="200" w:line-rule="auto"/>
        <w:ind w:firstLine="540"/>
        <w:jc w:val="both"/>
      </w:pPr>
      <w:r>
        <w:rPr>
          <w:sz w:val="20"/>
        </w:rPr>
        <w:t xml:space="preserve">создание системы сводов правил в области деревянного домостроения, совершенствование технического регулирования в области строительства с применением стальных конструкций;</w:t>
      </w:r>
    </w:p>
    <w:p>
      <w:pPr>
        <w:pStyle w:val="0"/>
        <w:spacing w:before="200" w:line-rule="auto"/>
        <w:ind w:firstLine="540"/>
        <w:jc w:val="both"/>
      </w:pPr>
      <w:r>
        <w:rPr>
          <w:sz w:val="20"/>
        </w:rPr>
        <w:t xml:space="preserve">актуализация системы сводов правил для обеспечения внедрения аддитивных технологий и технологий "умный дом";</w:t>
      </w:r>
    </w:p>
    <w:p>
      <w:pPr>
        <w:pStyle w:val="0"/>
        <w:spacing w:before="200" w:line-rule="auto"/>
        <w:ind w:firstLine="540"/>
        <w:jc w:val="both"/>
      </w:pPr>
      <w:r>
        <w:rPr>
          <w:sz w:val="20"/>
        </w:rPr>
        <w:t xml:space="preserve">интеграция процессов технического нормирования и оценки соответствия на уровне Евразийского экономического союза.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осуществлен переход на параметрический метод нормирования в проектировании и строительстве, обеспечена необходимая нормативная правовая база для развития системы технического регулирования в строительной отрасли;</w:t>
      </w:r>
    </w:p>
    <w:p>
      <w:pPr>
        <w:pStyle w:val="0"/>
        <w:spacing w:before="200" w:line-rule="auto"/>
        <w:ind w:firstLine="540"/>
        <w:jc w:val="both"/>
      </w:pPr>
      <w:r>
        <w:rPr>
          <w:sz w:val="20"/>
        </w:rPr>
        <w:t xml:space="preserve">устранены излишние, противоречивые, дублирующие требования, установлены механизмы применения добровольных требований, альтернативных способов обоснования соответствия проектных значений и характеристик здания или сооружения требованиям безопасности;</w:t>
      </w:r>
    </w:p>
    <w:p>
      <w:pPr>
        <w:pStyle w:val="0"/>
        <w:spacing w:before="200" w:line-rule="auto"/>
        <w:ind w:firstLine="540"/>
        <w:jc w:val="both"/>
      </w:pPr>
      <w:r>
        <w:rPr>
          <w:sz w:val="20"/>
        </w:rPr>
        <w:t xml:space="preserve">создана система управления требованиями безопасности объектов капитального строительства;</w:t>
      </w:r>
    </w:p>
    <w:p>
      <w:pPr>
        <w:pStyle w:val="0"/>
        <w:spacing w:before="200" w:line-rule="auto"/>
        <w:ind w:firstLine="540"/>
        <w:jc w:val="both"/>
      </w:pPr>
      <w:r>
        <w:rPr>
          <w:sz w:val="20"/>
        </w:rPr>
        <w:t xml:space="preserve">актуализированы и переведены в машиночитаемый и машинопонимаемый форматы все российские документы по стандартизации в сфере проектирования и строительства (более 3000 документов);</w:t>
      </w:r>
    </w:p>
    <w:p>
      <w:pPr>
        <w:pStyle w:val="0"/>
        <w:spacing w:before="200" w:line-rule="auto"/>
        <w:ind w:firstLine="540"/>
        <w:jc w:val="both"/>
      </w:pPr>
      <w:r>
        <w:rPr>
          <w:sz w:val="20"/>
        </w:rPr>
        <w:t xml:space="preserve">внедрено не менее 200 новых нормативных технических документов в строительстве для осуществления поэтапного отказа от использования устаревших технологий в проектировании и строительстве, внедрения современных технологий и инновационных строительных материалов;</w:t>
      </w:r>
    </w:p>
    <w:p>
      <w:pPr>
        <w:pStyle w:val="0"/>
        <w:spacing w:before="200" w:line-rule="auto"/>
        <w:ind w:firstLine="540"/>
        <w:jc w:val="both"/>
      </w:pPr>
      <w:r>
        <w:rPr>
          <w:sz w:val="20"/>
        </w:rPr>
        <w:t xml:space="preserve">принят технический регламент Евразийского экономического союза "О безопасности строительных материалов и изделий";</w:t>
      </w:r>
    </w:p>
    <w:p>
      <w:pPr>
        <w:pStyle w:val="0"/>
        <w:spacing w:before="200" w:line-rule="auto"/>
        <w:ind w:firstLine="540"/>
        <w:jc w:val="both"/>
      </w:pPr>
      <w:r>
        <w:rPr>
          <w:sz w:val="20"/>
        </w:rPr>
        <w:t xml:space="preserve">создана система национальных стандартов и сводов правил в области модульного строительства, деревянного домостроения;</w:t>
      </w:r>
    </w:p>
    <w:p>
      <w:pPr>
        <w:pStyle w:val="0"/>
        <w:spacing w:before="200" w:line-rule="auto"/>
        <w:ind w:firstLine="540"/>
        <w:jc w:val="both"/>
      </w:pPr>
      <w:r>
        <w:rPr>
          <w:sz w:val="20"/>
        </w:rPr>
        <w:t xml:space="preserve">значительно сокращен срок вывода на рынок новой продукции и упрощена процедура подтверждения пригодности строительных ресурсов.</w:t>
      </w:r>
    </w:p>
    <w:p>
      <w:pPr>
        <w:pStyle w:val="0"/>
        <w:jc w:val="both"/>
      </w:pPr>
      <w:r>
        <w:rPr>
          <w:sz w:val="20"/>
        </w:rPr>
      </w:r>
    </w:p>
    <w:p>
      <w:pPr>
        <w:pStyle w:val="2"/>
        <w:outlineLvl w:val="3"/>
        <w:jc w:val="center"/>
      </w:pPr>
      <w:r>
        <w:rPr>
          <w:sz w:val="20"/>
        </w:rPr>
        <w:t xml:space="preserve">Развитие услуг в сфере государственной регистрации прав</w:t>
      </w:r>
    </w:p>
    <w:p>
      <w:pPr>
        <w:pStyle w:val="2"/>
        <w:jc w:val="center"/>
      </w:pPr>
      <w:r>
        <w:rPr>
          <w:sz w:val="20"/>
        </w:rPr>
        <w:t xml:space="preserve">на недвижимое имущество и государственного кадастрового</w:t>
      </w:r>
    </w:p>
    <w:p>
      <w:pPr>
        <w:pStyle w:val="2"/>
        <w:jc w:val="center"/>
      </w:pPr>
      <w:r>
        <w:rPr>
          <w:sz w:val="20"/>
        </w:rPr>
        <w:t xml:space="preserve">учета недвижимого имущества</w:t>
      </w:r>
    </w:p>
    <w:p>
      <w:pPr>
        <w:pStyle w:val="0"/>
        <w:jc w:val="both"/>
      </w:pPr>
      <w:r>
        <w:rPr>
          <w:sz w:val="20"/>
        </w:rPr>
      </w:r>
    </w:p>
    <w:p>
      <w:pPr>
        <w:pStyle w:val="0"/>
        <w:ind w:firstLine="540"/>
        <w:jc w:val="both"/>
      </w:pPr>
      <w:r>
        <w:rPr>
          <w:sz w:val="20"/>
        </w:rPr>
        <w:t xml:space="preserve">Немаловажную роль в строительном цикле играют процедуры государственной регистрации прав на недвижимость и государственного кадастрового учета объекта капитального строительства.</w:t>
      </w:r>
    </w:p>
    <w:p>
      <w:pPr>
        <w:pStyle w:val="0"/>
        <w:spacing w:before="200" w:line-rule="auto"/>
        <w:ind w:firstLine="540"/>
        <w:jc w:val="both"/>
      </w:pPr>
      <w:r>
        <w:rPr>
          <w:sz w:val="20"/>
        </w:rPr>
        <w:t xml:space="preserve">Государственный кадастровый учет вновь построенного объекта капитального строительства и государственная регистрация прав на него являются завершающими этапами строительного цикла, в связи с чем важнейшим элементом этого этапа является обеспечение надлежащего качества документов, подготавливаемых для осуществления государственного кадастрового учета и регистрации прав на объект капитального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необходимость перевода документов и процедур, связанных с государственным кадастровым учетом вновь построенного объекта капитального строительства и государственной регистрацией прав на него, в электронный вид;</w:t>
      </w:r>
    </w:p>
    <w:p>
      <w:pPr>
        <w:pStyle w:val="0"/>
        <w:spacing w:before="200" w:line-rule="auto"/>
        <w:ind w:firstLine="540"/>
        <w:jc w:val="both"/>
      </w:pPr>
      <w:r>
        <w:rPr>
          <w:sz w:val="20"/>
        </w:rPr>
        <w:t xml:space="preserve">необходимость повышения уровня прозрачности и предсказуемости действий органов, осуществляющих государственный кадастровый учет вновь построенного объекта капитального строительства и государственную регистрацию прав на него;</w:t>
      </w:r>
    </w:p>
    <w:p>
      <w:pPr>
        <w:pStyle w:val="0"/>
        <w:spacing w:before="200" w:line-rule="auto"/>
        <w:ind w:firstLine="540"/>
        <w:jc w:val="both"/>
      </w:pPr>
      <w:r>
        <w:rPr>
          <w:sz w:val="20"/>
        </w:rPr>
        <w:t xml:space="preserve">необходимость повышения качества документов, требуемых для осуществления государственного кадастрового учета вновь построенного объекта капитального строительства и государственную регистрацию прав на него.</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повышение уровня прозрачности и предсказуемости действий органов, осуществляющих государственный кадастровый учет вновь построенного объекта капитального строительства и государственную регистрацию прав на него;</w:t>
      </w:r>
    </w:p>
    <w:p>
      <w:pPr>
        <w:pStyle w:val="0"/>
        <w:spacing w:before="200" w:line-rule="auto"/>
        <w:ind w:firstLine="540"/>
        <w:jc w:val="both"/>
      </w:pPr>
      <w:r>
        <w:rPr>
          <w:sz w:val="20"/>
        </w:rPr>
        <w:t xml:space="preserve">повышение уровня цифровизации государственного кадастрового учета вновь построенного объекта капитального строительства и государственной регистрации прав на него и обеспечение условий для реализации цифровых решений таких услуг на местах;</w:t>
      </w:r>
    </w:p>
    <w:p>
      <w:pPr>
        <w:pStyle w:val="0"/>
        <w:spacing w:before="200" w:line-rule="auto"/>
        <w:ind w:firstLine="540"/>
        <w:jc w:val="both"/>
      </w:pPr>
      <w:r>
        <w:rPr>
          <w:sz w:val="20"/>
        </w:rPr>
        <w:t xml:space="preserve">совершенствование нормативно-правового регулирования кадастровой деятельности и правоприменительной практики в области государственной регистрации прав на недвижимое имущество.</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организационные меры, позволяющие реализовать принцип "Регистрация за 1 час", в том числе за счет внедрения экстерриториального принципа регистрации прав на объекты капитального строительства и создания полного электронного архива документов в отношении объектов капитального строительства;</w:t>
      </w:r>
    </w:p>
    <w:p>
      <w:pPr>
        <w:pStyle w:val="0"/>
        <w:spacing w:before="200" w:line-rule="auto"/>
        <w:ind w:firstLine="540"/>
        <w:jc w:val="both"/>
      </w:pPr>
      <w:r>
        <w:rPr>
          <w:sz w:val="20"/>
        </w:rPr>
        <w:t xml:space="preserve">развитие существующих и создание новых электронных сервисов Федеральной службы государственной регистрации, кадастра и картографии, перевод большинства ее услуг на единый портал государственных и муниципальных услуг.</w:t>
      </w:r>
    </w:p>
    <w:p>
      <w:pPr>
        <w:pStyle w:val="0"/>
        <w:spacing w:before="200" w:line-rule="auto"/>
        <w:ind w:firstLine="540"/>
        <w:jc w:val="both"/>
      </w:pPr>
      <w:r>
        <w:rPr>
          <w:sz w:val="20"/>
        </w:rPr>
        <w:t xml:space="preserve">Результатом осуществления указанных мероприятий является то, что осуществлена комплексная взаимосвязь градостроительной деятельности с процессом государственного кадастрового учета и государственной регистрации прав на недвижимое имущество.</w:t>
      </w:r>
    </w:p>
    <w:p>
      <w:pPr>
        <w:pStyle w:val="0"/>
        <w:jc w:val="both"/>
      </w:pPr>
      <w:r>
        <w:rPr>
          <w:sz w:val="20"/>
        </w:rPr>
      </w:r>
    </w:p>
    <w:p>
      <w:pPr>
        <w:pStyle w:val="2"/>
        <w:outlineLvl w:val="2"/>
        <w:jc w:val="center"/>
      </w:pPr>
      <w:r>
        <w:rPr>
          <w:sz w:val="20"/>
        </w:rPr>
        <w:t xml:space="preserve">2. Совершенствование системы управления</w:t>
      </w:r>
    </w:p>
    <w:p>
      <w:pPr>
        <w:pStyle w:val="2"/>
        <w:jc w:val="center"/>
      </w:pPr>
      <w:r>
        <w:rPr>
          <w:sz w:val="20"/>
        </w:rPr>
        <w:t xml:space="preserve">капитальными вложениями</w:t>
      </w:r>
    </w:p>
    <w:p>
      <w:pPr>
        <w:pStyle w:val="0"/>
        <w:jc w:val="both"/>
      </w:pPr>
      <w:r>
        <w:rPr>
          <w:sz w:val="20"/>
        </w:rPr>
      </w:r>
    </w:p>
    <w:p>
      <w:pPr>
        <w:pStyle w:val="0"/>
        <w:ind w:firstLine="540"/>
        <w:jc w:val="both"/>
      </w:pPr>
      <w:r>
        <w:rPr>
          <w:sz w:val="20"/>
        </w:rPr>
        <w:t xml:space="preserve">Ежегодный объем капитальных вложений в объекты государственной и муниципальной собственности составляет около 3,5 трлн. рублей, из них около 1 трлн. рублей - инвестиции в объекты федеральной собственности. При этом указанных средств недостаточно для финансового обеспечения в полном объеме строительства новых объектов капитального строительства.</w:t>
      </w:r>
    </w:p>
    <w:p>
      <w:pPr>
        <w:pStyle w:val="0"/>
        <w:spacing w:before="200" w:line-rule="auto"/>
        <w:ind w:firstLine="540"/>
        <w:jc w:val="both"/>
      </w:pPr>
      <w:r>
        <w:rPr>
          <w:sz w:val="20"/>
        </w:rPr>
        <w:t xml:space="preserve">За последние годы наблюдается рекордно низкий объем ввода в эксплуатацию объектов капитального строительства, включенных в федеральную адресную инвестиционную программу. В то же время объем незавершенных объектов капитального строительства продолжает расти. По состоянию на 1 января 2022 г. сумма вложений в незавершенные объекты капитального строительства оценивается в 5 трлн. рублей.</w:t>
      </w:r>
    </w:p>
    <w:p>
      <w:pPr>
        <w:pStyle w:val="0"/>
        <w:spacing w:before="200" w:line-rule="auto"/>
        <w:ind w:firstLine="540"/>
        <w:jc w:val="both"/>
      </w:pPr>
      <w:r>
        <w:rPr>
          <w:sz w:val="20"/>
        </w:rPr>
        <w:t xml:space="preserve">В целях исправления сложившейся ситуации введена практика опережающего финансирования и гибкого перераспределения бюджетных средств, направленная на скорейшую достройку приоритетных объектов капитального строительства, сокращение количества незавершенных объектов капитального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ежегодный дефицит и неравномерность финансирования строительства объектов капитального строительства, усложняющие достижение результатов, установленных документами стратегического планирования Российской Федерации;</w:t>
      </w:r>
    </w:p>
    <w:p>
      <w:pPr>
        <w:pStyle w:val="0"/>
        <w:spacing w:before="200" w:line-rule="auto"/>
        <w:ind w:firstLine="540"/>
        <w:jc w:val="both"/>
      </w:pPr>
      <w:r>
        <w:rPr>
          <w:sz w:val="20"/>
        </w:rPr>
        <w:t xml:space="preserve">разбалансированность федеральной адресной инвестиционной программы, принятие решений о строительстве новых объектов до окончания строительства ранее начатых и приоритетных объектов капитального строительства;</w:t>
      </w:r>
    </w:p>
    <w:p>
      <w:pPr>
        <w:pStyle w:val="0"/>
        <w:spacing w:before="200" w:line-rule="auto"/>
        <w:ind w:firstLine="540"/>
        <w:jc w:val="both"/>
      </w:pPr>
      <w:r>
        <w:rPr>
          <w:sz w:val="20"/>
        </w:rPr>
        <w:t xml:space="preserve">отсутствие единого порядка по управлению капитальными вложениями, обеспечивающего реализацию простого и понятного механизма управления капитальными вложениями.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оптимизация процедур (в том числе с исключением избыточных) принятия решений об осуществлении капитальных вложений и включения объектов капитального строительства в федеральную адресную инвестиционную программу;</w:t>
      </w:r>
    </w:p>
    <w:p>
      <w:pPr>
        <w:pStyle w:val="0"/>
        <w:spacing w:before="200" w:line-rule="auto"/>
        <w:ind w:firstLine="540"/>
        <w:jc w:val="both"/>
      </w:pPr>
      <w:r>
        <w:rPr>
          <w:sz w:val="20"/>
        </w:rPr>
        <w:t xml:space="preserve">упрощение порядка согласования перечня объектов, строительство, реконструкция которых осуществляются за счет средств федерального бюджета, сокращение сроков и исключение излишних согласований;</w:t>
      </w:r>
    </w:p>
    <w:p>
      <w:pPr>
        <w:pStyle w:val="0"/>
        <w:spacing w:before="200" w:line-rule="auto"/>
        <w:ind w:firstLine="540"/>
        <w:jc w:val="both"/>
      </w:pPr>
      <w:r>
        <w:rPr>
          <w:sz w:val="20"/>
        </w:rPr>
        <w:t xml:space="preserve">увеличение объемов строительства объектов современной инфраструктуры, необходимой для формирования комфортной и безопасной среды для проживания граждан.</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пересмотр нормативной правовой базы в целях сокращения инвестиционно-строительного цикла и повышения эффективности управления капитальными вложениями;</w:t>
      </w:r>
    </w:p>
    <w:p>
      <w:pPr>
        <w:pStyle w:val="0"/>
        <w:spacing w:before="200" w:line-rule="auto"/>
        <w:ind w:firstLine="540"/>
        <w:jc w:val="both"/>
      </w:pPr>
      <w:r>
        <w:rPr>
          <w:sz w:val="20"/>
        </w:rPr>
        <w:t xml:space="preserve">переход к среднесрочному планированию капитальных вложений, осуществляемых с привлечением средств федерального бюджета, на основании комплексной государственной </w:t>
      </w:r>
      <w:hyperlink w:history="0" r:id="rId53" w:tooltip="Постановление Правительства РФ от 30.09.2022 N 1730 (ред. от 13.07.2024) &quot;Об утверждении комплексной государственной программы Российской Федерации &quot;Строительство&quot; {КонсультантПлюс}">
        <w:r>
          <w:rPr>
            <w:sz w:val="20"/>
            <w:color w:val="0000ff"/>
          </w:rPr>
          <w:t xml:space="preserve">программы</w:t>
        </w:r>
      </w:hyperlink>
      <w:r>
        <w:rPr>
          <w:sz w:val="20"/>
        </w:rPr>
        <w:t xml:space="preserve"> Российской Федерации "Строительство";</w:t>
      </w:r>
    </w:p>
    <w:p>
      <w:pPr>
        <w:pStyle w:val="0"/>
        <w:spacing w:before="200" w:line-rule="auto"/>
        <w:ind w:firstLine="540"/>
        <w:jc w:val="both"/>
      </w:pPr>
      <w:r>
        <w:rPr>
          <w:sz w:val="20"/>
        </w:rPr>
        <w:t xml:space="preserve">повышение качества и сокращение сроков проектирования и экспертизы объектов капитального строительства;</w:t>
      </w:r>
    </w:p>
    <w:p>
      <w:pPr>
        <w:pStyle w:val="0"/>
        <w:spacing w:before="200" w:line-rule="auto"/>
        <w:ind w:firstLine="540"/>
        <w:jc w:val="both"/>
      </w:pPr>
      <w:r>
        <w:rPr>
          <w:sz w:val="20"/>
        </w:rPr>
        <w:t xml:space="preserve">цифровизация процедур, применяемых при управлении государственными капитальными вложениями;</w:t>
      </w:r>
    </w:p>
    <w:p>
      <w:pPr>
        <w:pStyle w:val="0"/>
        <w:spacing w:before="200" w:line-rule="auto"/>
        <w:ind w:firstLine="540"/>
        <w:jc w:val="both"/>
      </w:pPr>
      <w:r>
        <w:rPr>
          <w:sz w:val="20"/>
        </w:rPr>
        <w:t xml:space="preserve">расширение механизмов опережающего строительства и досрочного ввода объектов капитального строительства в эксплуатацию;</w:t>
      </w:r>
    </w:p>
    <w:p>
      <w:pPr>
        <w:pStyle w:val="0"/>
        <w:spacing w:before="200" w:line-rule="auto"/>
        <w:ind w:firstLine="540"/>
        <w:jc w:val="both"/>
      </w:pPr>
      <w:r>
        <w:rPr>
          <w:sz w:val="20"/>
        </w:rPr>
        <w:t xml:space="preserve">увеличение объема ввода в эксплуатацию объектов капитального строительства;</w:t>
      </w:r>
    </w:p>
    <w:p>
      <w:pPr>
        <w:pStyle w:val="0"/>
        <w:spacing w:before="200" w:line-rule="auto"/>
        <w:ind w:firstLine="540"/>
        <w:jc w:val="both"/>
      </w:pPr>
      <w:r>
        <w:rPr>
          <w:sz w:val="20"/>
        </w:rPr>
        <w:t xml:space="preserve">формирование и ведение федерального реестра незавершенных объектов капитального строительства, а также реализация мероприятий по сокращению количества таких объектов.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сформирована нормативная правовая база, позволяющая сократить сроки и упростить процедуры планирования, финансирования и строительства объектов капитального строительства, строительство, реконструкция которых осуществляются за счет средств федерального бюджета;</w:t>
      </w:r>
    </w:p>
    <w:p>
      <w:pPr>
        <w:pStyle w:val="0"/>
        <w:spacing w:before="200" w:line-rule="auto"/>
        <w:ind w:firstLine="540"/>
        <w:jc w:val="both"/>
      </w:pPr>
      <w:r>
        <w:rPr>
          <w:sz w:val="20"/>
        </w:rPr>
        <w:t xml:space="preserve">применяемые механизмы финансирования позволяют исключить дефицит и неравномерность осуществления расходов на строительство объектов капитального строительства;</w:t>
      </w:r>
    </w:p>
    <w:p>
      <w:pPr>
        <w:pStyle w:val="0"/>
        <w:spacing w:before="200" w:line-rule="auto"/>
        <w:ind w:firstLine="540"/>
        <w:jc w:val="both"/>
      </w:pPr>
      <w:r>
        <w:rPr>
          <w:sz w:val="20"/>
        </w:rPr>
        <w:t xml:space="preserve">объем ввода в эксплуатацию объектов капитального строительства увеличен не менее чем в 1,5 раза;</w:t>
      </w:r>
    </w:p>
    <w:p>
      <w:pPr>
        <w:pStyle w:val="0"/>
        <w:spacing w:before="200" w:line-rule="auto"/>
        <w:ind w:firstLine="540"/>
        <w:jc w:val="both"/>
      </w:pPr>
      <w:r>
        <w:rPr>
          <w:sz w:val="20"/>
        </w:rPr>
        <w:t xml:space="preserve">сокращено количество незавершенных объектов капитального строительства, включенных в федеральный реестр незавершенных объектов капитального строительства.</w:t>
      </w:r>
    </w:p>
    <w:p>
      <w:pPr>
        <w:pStyle w:val="0"/>
        <w:jc w:val="both"/>
      </w:pPr>
      <w:r>
        <w:rPr>
          <w:sz w:val="20"/>
        </w:rPr>
      </w:r>
    </w:p>
    <w:p>
      <w:pPr>
        <w:pStyle w:val="2"/>
        <w:outlineLvl w:val="2"/>
        <w:jc w:val="center"/>
      </w:pPr>
      <w:r>
        <w:rPr>
          <w:sz w:val="20"/>
        </w:rPr>
        <w:t xml:space="preserve">3. Кадровое, научное и ресурсное обеспечение</w:t>
      </w:r>
    </w:p>
    <w:p>
      <w:pPr>
        <w:pStyle w:val="2"/>
        <w:jc w:val="center"/>
      </w:pPr>
      <w:r>
        <w:rPr>
          <w:sz w:val="20"/>
        </w:rPr>
        <w:t xml:space="preserve">строительной отрасли</w:t>
      </w:r>
    </w:p>
    <w:p>
      <w:pPr>
        <w:pStyle w:val="0"/>
        <w:jc w:val="center"/>
      </w:pPr>
      <w:r>
        <w:rPr>
          <w:sz w:val="20"/>
        </w:rPr>
      </w:r>
    </w:p>
    <w:p>
      <w:pPr>
        <w:pStyle w:val="2"/>
        <w:outlineLvl w:val="3"/>
        <w:jc w:val="center"/>
      </w:pPr>
      <w:r>
        <w:rPr>
          <w:sz w:val="20"/>
        </w:rPr>
        <w:t xml:space="preserve">Профессиональная трансформация</w:t>
      </w:r>
    </w:p>
    <w:p>
      <w:pPr>
        <w:pStyle w:val="0"/>
        <w:jc w:val="both"/>
      </w:pPr>
      <w:r>
        <w:rPr>
          <w:sz w:val="20"/>
        </w:rPr>
      </w:r>
    </w:p>
    <w:p>
      <w:pPr>
        <w:pStyle w:val="0"/>
        <w:ind w:firstLine="540"/>
        <w:jc w:val="both"/>
      </w:pPr>
      <w:r>
        <w:rPr>
          <w:sz w:val="20"/>
        </w:rPr>
        <w:t xml:space="preserve">По состоянию на 2021 год в строительной отрасли занято около 6,5 млн. работников более 100 профессий, квалификационная структура которых охватывает более 500 разрядов и категорий. По данным Министерства внутренних дел Российской Федерации и Федеральной службы государственной статистики, средняя доля трудовых мигрантов в среднегодовой численности занятых в строительной отрасли в 2019 - 2020 годах составила 10,2 процента (640 тыс. человек), в 2021 году - 12,3 процента (800 тыс. человек).</w:t>
      </w:r>
    </w:p>
    <w:p>
      <w:pPr>
        <w:pStyle w:val="0"/>
        <w:spacing w:before="200" w:line-rule="auto"/>
        <w:ind w:firstLine="540"/>
        <w:jc w:val="both"/>
      </w:pPr>
      <w:r>
        <w:rPr>
          <w:sz w:val="20"/>
        </w:rPr>
        <w:t xml:space="preserve">В целях достижения национальных целей развития к 2030 году в рамках профессиональной трансформации необходимо дополнительное привлечение от 0,7 млн. до 1,5 млн. работников различной квалификации. Ежегодный выпуск осуществляющих подготовку по строительным специальностям образовательных организаций высшего образования и профессиональных образовательных организаций составляет до 75 тыс. человек (из них 30 тыс. человек - по образовательным программам высшего образования). По учебным программам, одобренным Министерством строительства и жилищно-коммунального хозяйства Российской Федерации в качестве приоритетных, может быть дополнительно переподготовлено начиная с 2022 года до 40 тыс. человек в год.</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недостаточное взаимодействие между организациями реального сектора экономики и научными и образовательными организациями;</w:t>
      </w:r>
    </w:p>
    <w:p>
      <w:pPr>
        <w:pStyle w:val="0"/>
        <w:spacing w:before="200" w:line-rule="auto"/>
        <w:ind w:firstLine="540"/>
        <w:jc w:val="both"/>
      </w:pPr>
      <w:r>
        <w:rPr>
          <w:sz w:val="20"/>
        </w:rPr>
        <w:t xml:space="preserve">профессиональная и квалификационная структура трудовых ресурсов не в полной мере соответствует требованиям, предъявляемым к персоналу в контексте развития технологий строительного производства.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приведение профессиональной и квалификационной структуры трудовых ресурсов в соответствие с запросами строительной отрасли;</w:t>
      </w:r>
    </w:p>
    <w:p>
      <w:pPr>
        <w:pStyle w:val="0"/>
        <w:spacing w:before="200" w:line-rule="auto"/>
        <w:ind w:firstLine="540"/>
        <w:jc w:val="both"/>
      </w:pPr>
      <w:r>
        <w:rPr>
          <w:sz w:val="20"/>
        </w:rPr>
        <w:t xml:space="preserve">формирование управленческого кадрового резерва строительной отрасли (для предприятий и государственных организаций строительной отрасли);</w:t>
      </w:r>
    </w:p>
    <w:p>
      <w:pPr>
        <w:pStyle w:val="0"/>
        <w:spacing w:before="200" w:line-rule="auto"/>
        <w:ind w:firstLine="540"/>
        <w:jc w:val="both"/>
      </w:pPr>
      <w:r>
        <w:rPr>
          <w:sz w:val="20"/>
        </w:rPr>
        <w:t xml:space="preserve">развитие схем и форматов подготовки кадров по программам дополнительного профессионального образования (краткосрочного обучения и переобучения, повышения квалификации и профессиональной переподготовки) с учетом перехода строительной отрасли на технологии, повышающие производительность труда, цифровые технологии и обновленных требований к инвестиционно-строительному циклу;</w:t>
      </w:r>
    </w:p>
    <w:p>
      <w:pPr>
        <w:pStyle w:val="0"/>
        <w:spacing w:before="200" w:line-rule="auto"/>
        <w:ind w:firstLine="540"/>
        <w:jc w:val="both"/>
      </w:pPr>
      <w:r>
        <w:rPr>
          <w:sz w:val="20"/>
        </w:rPr>
        <w:t xml:space="preserve">повышение престижности строительных профессий, создание условий для вовлечения молодежи в трудовую деятельность в сфере строительства;</w:t>
      </w:r>
    </w:p>
    <w:p>
      <w:pPr>
        <w:pStyle w:val="0"/>
        <w:spacing w:before="200" w:line-rule="auto"/>
        <w:ind w:firstLine="540"/>
        <w:jc w:val="both"/>
      </w:pPr>
      <w:r>
        <w:rPr>
          <w:sz w:val="20"/>
        </w:rPr>
        <w:t xml:space="preserve">совершенствование системы привлечения трудовых мигрантов для компенсации дефицита кадров в отрасли, включая организацию системного отбора трудовых мигрантов, обладающих востребованными компетенциями.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разработка рекомендаций к профильным образовательным программам, определение списка приоритетных строительных профессий на постоянной основе;</w:t>
      </w:r>
    </w:p>
    <w:p>
      <w:pPr>
        <w:pStyle w:val="0"/>
        <w:spacing w:before="200" w:line-rule="auto"/>
        <w:ind w:firstLine="540"/>
        <w:jc w:val="both"/>
      </w:pPr>
      <w:r>
        <w:rPr>
          <w:sz w:val="20"/>
        </w:rPr>
        <w:t xml:space="preserve">синхронизация существующих инструментов государственной поддержки развития образования и кадрового обеспечения с потребностями строительной отрасли;</w:t>
      </w:r>
    </w:p>
    <w:p>
      <w:pPr>
        <w:pStyle w:val="0"/>
        <w:spacing w:before="200" w:line-rule="auto"/>
        <w:ind w:firstLine="540"/>
        <w:jc w:val="both"/>
      </w:pPr>
      <w:r>
        <w:rPr>
          <w:sz w:val="20"/>
        </w:rPr>
        <w:t xml:space="preserve">формирование плана мероприятий (дорожной карты), предусматривающего в том числе изменение образовательных программ по направлениям подготовки специалистов в сфере строительства в целях ускоренного вовлечения в производственные процессы;</w:t>
      </w:r>
    </w:p>
    <w:p>
      <w:pPr>
        <w:pStyle w:val="0"/>
        <w:spacing w:before="200" w:line-rule="auto"/>
        <w:ind w:firstLine="540"/>
        <w:jc w:val="both"/>
      </w:pPr>
      <w:r>
        <w:rPr>
          <w:sz w:val="20"/>
        </w:rPr>
        <w:t xml:space="preserve">формирование комплексной программы по ускоренному обучению кадров для строительной отрасли, выработка мер стимулирования граждан Российской Федерации к получению дополнительного профессионального образования по строительным специальностям;</w:t>
      </w:r>
    </w:p>
    <w:p>
      <w:pPr>
        <w:pStyle w:val="0"/>
        <w:spacing w:before="200" w:line-rule="auto"/>
        <w:ind w:firstLine="540"/>
        <w:jc w:val="both"/>
      </w:pPr>
      <w:r>
        <w:rPr>
          <w:sz w:val="20"/>
        </w:rPr>
        <w:t xml:space="preserve">проведение мероприятий по профессиональной переподготовке и повышению квалификации государственных заказчиков с учетом перехода отрасли на цифровые технологии;</w:t>
      </w:r>
    </w:p>
    <w:p>
      <w:pPr>
        <w:pStyle w:val="0"/>
        <w:spacing w:before="200" w:line-rule="auto"/>
        <w:ind w:firstLine="540"/>
        <w:jc w:val="both"/>
      </w:pPr>
      <w:r>
        <w:rPr>
          <w:sz w:val="20"/>
        </w:rPr>
        <w:t xml:space="preserve">ежегодный прогноз потребности в кадрах для строительной отрасли в субъектах Российской Федерации;</w:t>
      </w:r>
    </w:p>
    <w:p>
      <w:pPr>
        <w:pStyle w:val="0"/>
        <w:spacing w:before="200" w:line-rule="auto"/>
        <w:ind w:firstLine="540"/>
        <w:jc w:val="both"/>
      </w:pPr>
      <w:r>
        <w:rPr>
          <w:sz w:val="20"/>
        </w:rPr>
        <w:t xml:space="preserve">формирование кадрового центра Министерства строительства и жилищно-коммунального хозяйства Российской Федерации, создание отраслевой цифровой платформы трудовых ресурсов ("биржа труда"), развитие цифровых сервисов для работников строительной отрасли;</w:t>
      </w:r>
    </w:p>
    <w:p>
      <w:pPr>
        <w:pStyle w:val="0"/>
        <w:spacing w:before="200" w:line-rule="auto"/>
        <w:ind w:firstLine="540"/>
        <w:jc w:val="both"/>
      </w:pPr>
      <w:r>
        <w:rPr>
          <w:sz w:val="20"/>
        </w:rPr>
        <w:t xml:space="preserve">сокращение административных барьеров при привлечении иностранной рабочей силы из государств - членов Евразийского экономического союза и стран Содружества Независимых Государств;</w:t>
      </w:r>
    </w:p>
    <w:p>
      <w:pPr>
        <w:pStyle w:val="0"/>
        <w:spacing w:before="200" w:line-rule="auto"/>
        <w:ind w:firstLine="540"/>
        <w:jc w:val="both"/>
      </w:pPr>
      <w:r>
        <w:rPr>
          <w:sz w:val="20"/>
        </w:rPr>
        <w:t xml:space="preserve">внедрение стандартов, обеспечивающих современные и комфортные условия осуществления деятельности строителей, соответствующие нормативным требованиям, а также цифровых методов контроля на объектах капитального строительства.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соответствие профессиональной и квалификационной структуры трудовых ресурсов потребностям строительной отрасли;</w:t>
      </w:r>
    </w:p>
    <w:p>
      <w:pPr>
        <w:pStyle w:val="0"/>
        <w:spacing w:before="200" w:line-rule="auto"/>
        <w:ind w:firstLine="540"/>
        <w:jc w:val="both"/>
      </w:pPr>
      <w:r>
        <w:rPr>
          <w:sz w:val="20"/>
        </w:rPr>
        <w:t xml:space="preserve">в строительной отрасли занято до 1 млн. квалифицированных мигрантов;</w:t>
      </w:r>
    </w:p>
    <w:p>
      <w:pPr>
        <w:pStyle w:val="0"/>
        <w:spacing w:before="200" w:line-rule="auto"/>
        <w:ind w:firstLine="540"/>
        <w:jc w:val="both"/>
      </w:pPr>
      <w:r>
        <w:rPr>
          <w:sz w:val="20"/>
        </w:rPr>
        <w:t xml:space="preserve">создана отраслевая цифровая платформа трудовых ресурсов ("биржа труда"), которая отражает актуальную потребность в трудовых ресурсах по строительным организациям, осуществляющим деятельность в рамках государственного заказа;</w:t>
      </w:r>
    </w:p>
    <w:p>
      <w:pPr>
        <w:pStyle w:val="0"/>
        <w:spacing w:before="200" w:line-rule="auto"/>
        <w:ind w:firstLine="540"/>
        <w:jc w:val="both"/>
      </w:pPr>
      <w:r>
        <w:rPr>
          <w:sz w:val="20"/>
        </w:rPr>
        <w:t xml:space="preserve">обеспечена профессиональная подготовка (переподготовка) не менее 40 тыс. квалифицированных специалистов для строительной отрасли в год.</w:t>
      </w:r>
    </w:p>
    <w:p>
      <w:pPr>
        <w:pStyle w:val="0"/>
        <w:jc w:val="both"/>
      </w:pPr>
      <w:r>
        <w:rPr>
          <w:sz w:val="20"/>
        </w:rPr>
      </w:r>
    </w:p>
    <w:p>
      <w:pPr>
        <w:pStyle w:val="2"/>
        <w:outlineLvl w:val="3"/>
        <w:jc w:val="center"/>
      </w:pPr>
      <w:r>
        <w:rPr>
          <w:sz w:val="20"/>
        </w:rPr>
        <w:t xml:space="preserve">Развитие научной деятельности в строительстве</w:t>
      </w:r>
    </w:p>
    <w:p>
      <w:pPr>
        <w:pStyle w:val="0"/>
        <w:jc w:val="both"/>
      </w:pPr>
      <w:r>
        <w:rPr>
          <w:sz w:val="20"/>
        </w:rPr>
      </w:r>
    </w:p>
    <w:p>
      <w:pPr>
        <w:pStyle w:val="0"/>
        <w:ind w:firstLine="540"/>
        <w:jc w:val="both"/>
      </w:pPr>
      <w:r>
        <w:rPr>
          <w:sz w:val="20"/>
        </w:rPr>
        <w:t xml:space="preserve">В современных условиях внедрение инноваций является ключевым фактором повышения эффективности и конкурентоспособности строительной отрасли. Их разработка и внедрение невозможны без развития отечественной науки и привлечения существенных ресурсов (трудовых, финансовых, организационных).</w:t>
      </w:r>
    </w:p>
    <w:p>
      <w:pPr>
        <w:pStyle w:val="0"/>
        <w:spacing w:before="200" w:line-rule="auto"/>
        <w:ind w:firstLine="540"/>
        <w:jc w:val="both"/>
      </w:pPr>
      <w:r>
        <w:rPr>
          <w:sz w:val="20"/>
        </w:rPr>
        <w:t xml:space="preserve">Развитие отечественных технологий, их своевременное и эффективное внедрение, а также международное сотрудничество и экспорт таких технологий - условия успешного развития строительной отрасли.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отсутствие развитой цепи "спрос - разработка - внедрение" инноваций в строительстве;</w:t>
      </w:r>
    </w:p>
    <w:p>
      <w:pPr>
        <w:pStyle w:val="0"/>
        <w:spacing w:before="200" w:line-rule="auto"/>
        <w:ind w:firstLine="540"/>
        <w:jc w:val="both"/>
      </w:pPr>
      <w:r>
        <w:rPr>
          <w:sz w:val="20"/>
        </w:rPr>
        <w:t xml:space="preserve">низкий уровень взаимодействия между научными организациями и компаниями строительной отрасли;</w:t>
      </w:r>
    </w:p>
    <w:p>
      <w:pPr>
        <w:pStyle w:val="0"/>
        <w:spacing w:before="200" w:line-rule="auto"/>
        <w:ind w:firstLine="540"/>
        <w:jc w:val="both"/>
      </w:pPr>
      <w:r>
        <w:rPr>
          <w:sz w:val="20"/>
        </w:rPr>
        <w:t xml:space="preserve">дефицит технологий в связи с внешним санкционным давлением со стороны недружественных стран.</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новых и развитие сформированных отраслевых научных школ на базе ведущих образовательных организаций высшего образования соответствующего профиля;</w:t>
      </w:r>
    </w:p>
    <w:p>
      <w:pPr>
        <w:pStyle w:val="0"/>
        <w:spacing w:before="200" w:line-rule="auto"/>
        <w:ind w:firstLine="540"/>
        <w:jc w:val="both"/>
      </w:pPr>
      <w:r>
        <w:rPr>
          <w:sz w:val="20"/>
        </w:rPr>
        <w:t xml:space="preserve">повышение эффективности и результативности проводимых фундаментальных, поисковых и прикладных научных исследований и разработок в области строительства, архитектуры, градостроительства, в том числе по прорывным тематикам, в соответствии с потребностями отрасли, расширение взаимодействия научных организаций с организациями реального сектора;</w:t>
      </w:r>
    </w:p>
    <w:p>
      <w:pPr>
        <w:pStyle w:val="0"/>
        <w:spacing w:before="200" w:line-rule="auto"/>
        <w:ind w:firstLine="540"/>
        <w:jc w:val="both"/>
      </w:pPr>
      <w:r>
        <w:rPr>
          <w:sz w:val="20"/>
        </w:rPr>
        <w:t xml:space="preserve">развитие международного научно-технического сотрудничества;</w:t>
      </w:r>
    </w:p>
    <w:p>
      <w:pPr>
        <w:pStyle w:val="0"/>
        <w:spacing w:before="200" w:line-rule="auto"/>
        <w:ind w:firstLine="540"/>
        <w:jc w:val="both"/>
      </w:pPr>
      <w:r>
        <w:rPr>
          <w:sz w:val="20"/>
        </w:rPr>
        <w:t xml:space="preserve">развитие системы государственных заказов на наукоемкие исследования в области строительства;</w:t>
      </w:r>
    </w:p>
    <w:p>
      <w:pPr>
        <w:pStyle w:val="0"/>
        <w:spacing w:before="200" w:line-rule="auto"/>
        <w:ind w:firstLine="540"/>
        <w:jc w:val="both"/>
      </w:pPr>
      <w:r>
        <w:rPr>
          <w:sz w:val="20"/>
        </w:rPr>
        <w:t xml:space="preserve">создание системы стимулирования вовлечения талантливой молодежи в научную деятельность в области строительства, архитектуры и градостроительства.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долгосрочное планирование и регулярная актуализация приоритетных научных проектов, позволяющих формировать конкурентоспособные коллективы, объединяющие исследователей, разработчиков и предпринимателей;</w:t>
      </w:r>
    </w:p>
    <w:p>
      <w:pPr>
        <w:pStyle w:val="0"/>
        <w:spacing w:before="200" w:line-rule="auto"/>
        <w:ind w:firstLine="540"/>
        <w:jc w:val="both"/>
      </w:pPr>
      <w:r>
        <w:rPr>
          <w:sz w:val="20"/>
        </w:rPr>
        <w:t xml:space="preserve">формирование механизмов эффективного взаимодействия науки и реального сектора экономики в целях развития (трансфера) технологий и инноваций;</w:t>
      </w:r>
    </w:p>
    <w:p>
      <w:pPr>
        <w:pStyle w:val="0"/>
        <w:spacing w:before="200" w:line-rule="auto"/>
        <w:ind w:firstLine="540"/>
        <w:jc w:val="both"/>
      </w:pPr>
      <w:r>
        <w:rPr>
          <w:sz w:val="20"/>
        </w:rPr>
        <w:t xml:space="preserve">поддержка участия российских ученых в международных проектах;</w:t>
      </w:r>
    </w:p>
    <w:p>
      <w:pPr>
        <w:pStyle w:val="0"/>
        <w:spacing w:before="200" w:line-rule="auto"/>
        <w:ind w:firstLine="540"/>
        <w:jc w:val="both"/>
      </w:pPr>
      <w:r>
        <w:rPr>
          <w:sz w:val="20"/>
        </w:rPr>
        <w:t xml:space="preserve">оборудование отраслевых лабораторий современным научно-технологическим оборудованием и обеспечение доступности научно-исследовательской инфраструктуры для всех отечественных исследователей;</w:t>
      </w:r>
    </w:p>
    <w:p>
      <w:pPr>
        <w:pStyle w:val="0"/>
        <w:spacing w:before="200" w:line-rule="auto"/>
        <w:ind w:firstLine="540"/>
        <w:jc w:val="both"/>
      </w:pPr>
      <w:r>
        <w:rPr>
          <w:sz w:val="20"/>
        </w:rPr>
        <w:t xml:space="preserve">регулярный мониторинг проводимых фундаментальных, поисковых и прикладных научных исследований в области строительства.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созданы условия для развития научной деятельности, направленной на обеспечение инновационного развития строительной отрасли;</w:t>
      </w:r>
    </w:p>
    <w:p>
      <w:pPr>
        <w:pStyle w:val="0"/>
        <w:spacing w:before="200" w:line-rule="auto"/>
        <w:ind w:firstLine="540"/>
        <w:jc w:val="both"/>
      </w:pPr>
      <w:r>
        <w:rPr>
          <w:sz w:val="20"/>
        </w:rPr>
        <w:t xml:space="preserve">обеспечены условия для оперативного внедрения инноваций, а также для замещения устаревших технологий проектирования и строительства новыми технологиями и решениями отечественной разработки.</w:t>
      </w:r>
    </w:p>
    <w:p>
      <w:pPr>
        <w:pStyle w:val="0"/>
        <w:jc w:val="both"/>
      </w:pPr>
      <w:r>
        <w:rPr>
          <w:sz w:val="20"/>
        </w:rPr>
      </w:r>
    </w:p>
    <w:p>
      <w:pPr>
        <w:pStyle w:val="2"/>
        <w:outlineLvl w:val="3"/>
        <w:jc w:val="center"/>
      </w:pPr>
      <w:r>
        <w:rPr>
          <w:sz w:val="20"/>
        </w:rPr>
        <w:t xml:space="preserve">Совершенствование системы ценообразования в строительстве</w:t>
      </w:r>
    </w:p>
    <w:p>
      <w:pPr>
        <w:pStyle w:val="0"/>
        <w:jc w:val="both"/>
      </w:pPr>
      <w:r>
        <w:rPr>
          <w:sz w:val="20"/>
        </w:rPr>
      </w:r>
    </w:p>
    <w:p>
      <w:pPr>
        <w:pStyle w:val="0"/>
        <w:ind w:firstLine="540"/>
        <w:jc w:val="both"/>
      </w:pPr>
      <w:r>
        <w:rPr>
          <w:sz w:val="20"/>
        </w:rPr>
        <w:t xml:space="preserve">Задача совершенствования системы ценообразования в строительной отрасли реализуется с 2016 года. Законодательно закреплены единые принципы в области ценообразования в строительной сфере. Создана и развивается федеральная государственная информационная система ценообразования в строительстве.</w:t>
      </w:r>
    </w:p>
    <w:p>
      <w:pPr>
        <w:pStyle w:val="0"/>
        <w:spacing w:before="200" w:line-rule="auto"/>
        <w:ind w:firstLine="540"/>
        <w:jc w:val="both"/>
      </w:pPr>
      <w:r>
        <w:rPr>
          <w:sz w:val="20"/>
        </w:rPr>
        <w:t xml:space="preserve">Вызовом является недостоверное определение начальной (максимальной) цены контракта, предметом которого являются строительство, реконструкция объектов капитального строительства, которое зачастую приводит к срыву сроков реализации инвестиционных проектов и банкротствам подрядных организаций. Необходимо обеспечить повышение точности определения стоимости строительства и переход от базисно-индексного метода к ресурсному методу определения сметной стоимости строительства.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механизмов определения начальной (максимальной) цены контракта, предметом которого являются строительство, реконструкция объектов капитального строительства, соответствующей фактическим рыночным условиям;</w:t>
      </w:r>
    </w:p>
    <w:p>
      <w:pPr>
        <w:pStyle w:val="0"/>
        <w:spacing w:before="200" w:line-rule="auto"/>
        <w:ind w:firstLine="540"/>
        <w:jc w:val="both"/>
      </w:pPr>
      <w:r>
        <w:rPr>
          <w:sz w:val="20"/>
        </w:rPr>
        <w:t xml:space="preserve">создание единой цифровой платформы системы ценообразования в строительстве на базе федеральной государственной информационной системы ценообразования в строительстве, позволяющей формировать стоимость строительства в автоматизированном режиме, на основании достоверных данных о стоимости всех строительных ресурсов;</w:t>
      </w:r>
    </w:p>
    <w:p>
      <w:pPr>
        <w:pStyle w:val="0"/>
        <w:spacing w:before="200" w:line-rule="auto"/>
        <w:ind w:firstLine="540"/>
        <w:jc w:val="both"/>
      </w:pPr>
      <w:r>
        <w:rPr>
          <w:sz w:val="20"/>
        </w:rPr>
        <w:t xml:space="preserve">формирование системы контроля за ценами на строительные ресурсы и формирование оперативного реагирования на изменения цен.</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базы сметных нормативов в строительстве путем актуализации действующих и разработки новых норм, учитывающих необходимость применения при строительстве современных материалов и технологий, а также необходимость повышения производительности труда;</w:t>
      </w:r>
    </w:p>
    <w:p>
      <w:pPr>
        <w:pStyle w:val="0"/>
        <w:spacing w:before="200" w:line-rule="auto"/>
        <w:ind w:firstLine="540"/>
        <w:jc w:val="both"/>
      </w:pPr>
      <w:r>
        <w:rPr>
          <w:sz w:val="20"/>
        </w:rPr>
        <w:t xml:space="preserve">проведение анализа объемов потребности в строительных материалах крупнейших застройщиков и объемов производства соответствующих строительных ресурсов, их транспортной доступности;</w:t>
      </w:r>
    </w:p>
    <w:p>
      <w:pPr>
        <w:pStyle w:val="0"/>
        <w:spacing w:before="200" w:line-rule="auto"/>
        <w:ind w:firstLine="540"/>
        <w:jc w:val="both"/>
      </w:pPr>
      <w:r>
        <w:rPr>
          <w:sz w:val="20"/>
        </w:rPr>
        <w:t xml:space="preserve">создание механизмов мониторинга цен на строительные ресурсы с учетом максимального количества источников информации в автоматизированном режиме;</w:t>
      </w:r>
    </w:p>
    <w:p>
      <w:pPr>
        <w:pStyle w:val="0"/>
        <w:spacing w:before="200" w:line-rule="auto"/>
        <w:ind w:firstLine="540"/>
        <w:jc w:val="both"/>
      </w:pPr>
      <w:r>
        <w:rPr>
          <w:sz w:val="20"/>
        </w:rPr>
        <w:t xml:space="preserve">создание специализированной торговой площадки по заключению сделок по приобретению строительных ресурсов подрядными организациями, интегрированной с федеральной государственной информационной системой ценообразования в строительстве, на основе классификатора строительных ресурсов и программного модуля интеграции существующих торговых площадок с федеральной государственной информационной системой ценообразования в строительстве для получения информации о цене фактических сделок купли-продажи строительных ресурсов, за исключением случаев заключения контрактов в соответствии с Федеральным </w:t>
      </w:r>
      <w:hyperlink w:history="0"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создание механизмов учета в стоимости строительства реальной заработной платы строителей;</w:t>
      </w:r>
    </w:p>
    <w:p>
      <w:pPr>
        <w:pStyle w:val="0"/>
        <w:spacing w:before="200" w:line-rule="auto"/>
        <w:ind w:firstLine="540"/>
        <w:jc w:val="both"/>
      </w:pPr>
      <w:r>
        <w:rPr>
          <w:sz w:val="20"/>
        </w:rPr>
        <w:t xml:space="preserve">переход на ресурсно-индексный метод определения сметной стоимости строительства с использованием текущих цен строительных ресурсов из федеральной государственной информационной системы ценообразования в строительстве и индексов к группам однородных строительных ресурсов с последующим переходом на ресурсный метод.</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создана единая цифровая платформа системы ценообразования в строительстве на базе федеральной государственной информационной системы ценообразования в строительстве, интегрированная с другими информационными системами и электронными торговыми площадками, обеспечивающая возможность формирования достоверной сметной стоимости на основании рыночных цен строительных ресурсов, актуальных сметных норм, учитывающих современные технологии и материалы, в автоматизированном режиме;</w:t>
      </w:r>
    </w:p>
    <w:p>
      <w:pPr>
        <w:pStyle w:val="0"/>
        <w:spacing w:before="200" w:line-rule="auto"/>
        <w:ind w:firstLine="540"/>
        <w:jc w:val="both"/>
      </w:pPr>
      <w:r>
        <w:rPr>
          <w:sz w:val="20"/>
        </w:rPr>
        <w:t xml:space="preserve">осуществлен переход к ресурсному методу определения сметной стоимости строительства;</w:t>
      </w:r>
    </w:p>
    <w:p>
      <w:pPr>
        <w:pStyle w:val="0"/>
        <w:spacing w:before="200" w:line-rule="auto"/>
        <w:ind w:firstLine="540"/>
        <w:jc w:val="both"/>
      </w:pPr>
      <w:r>
        <w:rPr>
          <w:sz w:val="20"/>
        </w:rPr>
        <w:t xml:space="preserve">созданы инструменты прогнозирования роста цен на строительные ресурсы и приняты меры оперативного реагирования на изменения цен;</w:t>
      </w:r>
    </w:p>
    <w:p>
      <w:pPr>
        <w:pStyle w:val="0"/>
        <w:spacing w:before="200" w:line-rule="auto"/>
        <w:ind w:firstLine="540"/>
        <w:jc w:val="both"/>
      </w:pPr>
      <w:r>
        <w:rPr>
          <w:sz w:val="20"/>
        </w:rPr>
        <w:t xml:space="preserve">обеспечено соответствие сметной стоимости строительства рыночным условиям;</w:t>
      </w:r>
    </w:p>
    <w:p>
      <w:pPr>
        <w:pStyle w:val="0"/>
        <w:spacing w:before="200" w:line-rule="auto"/>
        <w:ind w:firstLine="540"/>
        <w:jc w:val="both"/>
      </w:pPr>
      <w:r>
        <w:rPr>
          <w:sz w:val="20"/>
        </w:rPr>
        <w:t xml:space="preserve">сокращено количество срывов конкурсных процедур, нереализованных проектов и банкротств подрядных организаций;</w:t>
      </w:r>
    </w:p>
    <w:p>
      <w:pPr>
        <w:pStyle w:val="0"/>
        <w:spacing w:before="200" w:line-rule="auto"/>
        <w:ind w:firstLine="540"/>
        <w:jc w:val="both"/>
      </w:pPr>
      <w:r>
        <w:rPr>
          <w:sz w:val="20"/>
        </w:rPr>
        <w:t xml:space="preserve">усовершенствован порядок применения укрупненных нормативов цены строительства и расширение их номенклатуры.</w:t>
      </w:r>
    </w:p>
    <w:p>
      <w:pPr>
        <w:pStyle w:val="0"/>
        <w:jc w:val="both"/>
      </w:pPr>
      <w:r>
        <w:rPr>
          <w:sz w:val="20"/>
        </w:rPr>
      </w:r>
    </w:p>
    <w:p>
      <w:pPr>
        <w:pStyle w:val="2"/>
        <w:outlineLvl w:val="2"/>
        <w:jc w:val="center"/>
      </w:pPr>
      <w:r>
        <w:rPr>
          <w:sz w:val="20"/>
        </w:rPr>
        <w:t xml:space="preserve">4. Совершенствование контрольной (надзорной)</w:t>
      </w:r>
    </w:p>
    <w:p>
      <w:pPr>
        <w:pStyle w:val="2"/>
        <w:jc w:val="center"/>
      </w:pPr>
      <w:r>
        <w:rPr>
          <w:sz w:val="20"/>
        </w:rPr>
        <w:t xml:space="preserve">деятельности в строительстве, развитие института экспертизы</w:t>
      </w:r>
    </w:p>
    <w:p>
      <w:pPr>
        <w:pStyle w:val="2"/>
        <w:jc w:val="center"/>
      </w:pPr>
      <w:r>
        <w:rPr>
          <w:sz w:val="20"/>
        </w:rPr>
        <w:t xml:space="preserve">проектной документации</w:t>
      </w:r>
    </w:p>
    <w:p>
      <w:pPr>
        <w:pStyle w:val="0"/>
        <w:jc w:val="both"/>
      </w:pPr>
      <w:r>
        <w:rPr>
          <w:sz w:val="20"/>
        </w:rPr>
      </w:r>
    </w:p>
    <w:p>
      <w:pPr>
        <w:pStyle w:val="2"/>
        <w:outlineLvl w:val="3"/>
        <w:jc w:val="center"/>
      </w:pPr>
      <w:r>
        <w:rPr>
          <w:sz w:val="20"/>
        </w:rPr>
        <w:t xml:space="preserve">Строительный контроль и государственный строительный надзор</w:t>
      </w:r>
    </w:p>
    <w:p>
      <w:pPr>
        <w:pStyle w:val="0"/>
        <w:jc w:val="both"/>
      </w:pPr>
      <w:r>
        <w:rPr>
          <w:sz w:val="20"/>
        </w:rPr>
      </w:r>
    </w:p>
    <w:p>
      <w:pPr>
        <w:pStyle w:val="0"/>
        <w:ind w:firstLine="540"/>
        <w:jc w:val="both"/>
      </w:pPr>
      <w:r>
        <w:rPr>
          <w:sz w:val="20"/>
        </w:rPr>
        <w:t xml:space="preserve">Институт государственного строительного надзора представляет собой один из элементов обеспечения безопасности строительства.</w:t>
      </w:r>
    </w:p>
    <w:p>
      <w:pPr>
        <w:pStyle w:val="0"/>
        <w:spacing w:before="200" w:line-rule="auto"/>
        <w:ind w:firstLine="540"/>
        <w:jc w:val="both"/>
      </w:pPr>
      <w:r>
        <w:rPr>
          <w:sz w:val="20"/>
        </w:rPr>
        <w:t xml:space="preserve">Согласно статистике за 2017 - 2019 годы произошло 77 аварий и обрушений в процессе строительства, при этом из 10 крупных аварий 5 аварий произошли из-за отступления от проектной документации, 3 аварии - из-за применения некачественных материалов, 1 авария - из-за неправильной установки оборудования, то есть при строительстве, реконструкции 9 объектов капитального строительства некачественно был проведен строительный контроль.</w:t>
      </w:r>
    </w:p>
    <w:p>
      <w:pPr>
        <w:pStyle w:val="0"/>
        <w:spacing w:before="200" w:line-rule="auto"/>
        <w:ind w:firstLine="540"/>
        <w:jc w:val="both"/>
      </w:pPr>
      <w:r>
        <w:rPr>
          <w:sz w:val="20"/>
        </w:rPr>
        <w:t xml:space="preserve">В связи с этим при строительстве, реконструкции, капитальном ремонте отдельных объектов капитального строительства с привлечением средств федерального бюджета строительный контроль проводится специализированными федеральными учреждениями.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высокая степень участия надзорных органов в реализации проектов строительства;</w:t>
      </w:r>
    </w:p>
    <w:p>
      <w:pPr>
        <w:pStyle w:val="0"/>
        <w:spacing w:before="200" w:line-rule="auto"/>
        <w:ind w:firstLine="540"/>
        <w:jc w:val="both"/>
      </w:pPr>
      <w:r>
        <w:rPr>
          <w:sz w:val="20"/>
        </w:rPr>
        <w:t xml:space="preserve">в подавляющем большинстве низкое качество проведения строительного контроля, в том числе в связи с отсутствием четких требований к лицам, проводящим строительный контроль, и их размытой ответственностью;</w:t>
      </w:r>
    </w:p>
    <w:p>
      <w:pPr>
        <w:pStyle w:val="0"/>
        <w:spacing w:before="200" w:line-rule="auto"/>
        <w:ind w:firstLine="540"/>
        <w:jc w:val="both"/>
      </w:pPr>
      <w:r>
        <w:rPr>
          <w:sz w:val="20"/>
        </w:rPr>
        <w:t xml:space="preserve">предмет государственного строительного надзора и предмет строительного контроля дублируют друг друга, при этом государственный строительный надзор в отличие от строительного контроля не может обеспечить постоянное наблюдение за ходом строительства, реконструкции объектов капитального строительства;</w:t>
      </w:r>
    </w:p>
    <w:p>
      <w:pPr>
        <w:pStyle w:val="0"/>
        <w:spacing w:before="200" w:line-rule="auto"/>
        <w:ind w:firstLine="540"/>
        <w:jc w:val="both"/>
      </w:pPr>
      <w:r>
        <w:rPr>
          <w:sz w:val="20"/>
        </w:rPr>
        <w:t xml:space="preserve">отсутствие оперативного взаимодействия органов государственного строительного надзора с контролируемыми лицами.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снижение административной нагрузки на застройщиков;</w:t>
      </w:r>
    </w:p>
    <w:p>
      <w:pPr>
        <w:pStyle w:val="0"/>
        <w:spacing w:before="200" w:line-rule="auto"/>
        <w:ind w:firstLine="540"/>
        <w:jc w:val="both"/>
      </w:pPr>
      <w:r>
        <w:rPr>
          <w:sz w:val="20"/>
        </w:rPr>
        <w:t xml:space="preserve">повышение качества и установление ответственности строительного контроля;</w:t>
      </w:r>
    </w:p>
    <w:p>
      <w:pPr>
        <w:pStyle w:val="0"/>
        <w:spacing w:before="200" w:line-rule="auto"/>
        <w:ind w:firstLine="540"/>
        <w:jc w:val="both"/>
      </w:pPr>
      <w:r>
        <w:rPr>
          <w:sz w:val="20"/>
        </w:rPr>
        <w:t xml:space="preserve">построение вертикали органов государственного строительного надзора;</w:t>
      </w:r>
    </w:p>
    <w:p>
      <w:pPr>
        <w:pStyle w:val="0"/>
        <w:spacing w:before="200" w:line-rule="auto"/>
        <w:ind w:firstLine="540"/>
        <w:jc w:val="both"/>
      </w:pPr>
      <w:r>
        <w:rPr>
          <w:sz w:val="20"/>
        </w:rPr>
        <w:t xml:space="preserve">цифровизация государственного строительного надзора и строительного контроля.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уточнение предмета государственного строительного надзора, установление единых требований к организации и проведению надзорных мероприятий, оптимизация процедур надзора;</w:t>
      </w:r>
    </w:p>
    <w:p>
      <w:pPr>
        <w:pStyle w:val="0"/>
        <w:spacing w:before="200" w:line-rule="auto"/>
        <w:ind w:firstLine="540"/>
        <w:jc w:val="both"/>
      </w:pPr>
      <w:r>
        <w:rPr>
          <w:sz w:val="20"/>
        </w:rPr>
        <w:t xml:space="preserve">сокращение количества объектов капитального строительства, в отношении которых проводится экспертиза проектной документации и осуществляется государственный строительный надзор;</w:t>
      </w:r>
    </w:p>
    <w:p>
      <w:pPr>
        <w:pStyle w:val="0"/>
        <w:spacing w:before="200" w:line-rule="auto"/>
        <w:ind w:firstLine="540"/>
        <w:jc w:val="both"/>
      </w:pPr>
      <w:r>
        <w:rPr>
          <w:sz w:val="20"/>
        </w:rPr>
        <w:t xml:space="preserve">формирование эффективного механизма соразмерной ответственности организаций, оказывающих услуги строительного контроля по договору с застройщиками (техническими заказчиками);</w:t>
      </w:r>
    </w:p>
    <w:p>
      <w:pPr>
        <w:pStyle w:val="0"/>
        <w:spacing w:before="200" w:line-rule="auto"/>
        <w:ind w:firstLine="540"/>
        <w:jc w:val="both"/>
      </w:pPr>
      <w:r>
        <w:rPr>
          <w:sz w:val="20"/>
        </w:rPr>
        <w:t xml:space="preserve">в пилотном режиме введение аттестации лиц, проводящих строительный контроль, с одновременным исключением проведения контрольных (надзорных) мероприятий в соответствии с программой проверок и корректировкой предмета государственного строительного надзора в части исключения проверки работ, строительных материалов и результатов работ на предмет соответствия требованиям проектной документации (с проработкой возможности введения общесистемного регулирования). При этом в отношении особо опасных, технически сложных и уникальных объектов сохраняется действующая модель осуществления государственного строительного надзора;</w:t>
      </w:r>
    </w:p>
    <w:p>
      <w:pPr>
        <w:pStyle w:val="0"/>
        <w:spacing w:before="200" w:line-rule="auto"/>
        <w:ind w:firstLine="540"/>
        <w:jc w:val="both"/>
      </w:pPr>
      <w:r>
        <w:rPr>
          <w:sz w:val="20"/>
        </w:rPr>
        <w:t xml:space="preserve">создание системы специализированных учреждений для проведения строительного контроля при строительстве, реконструкции объектов капитального строительства с привлечением средств бюджетов бюджетной системы различного уровня;</w:t>
      </w:r>
    </w:p>
    <w:p>
      <w:pPr>
        <w:pStyle w:val="0"/>
        <w:spacing w:before="200" w:line-rule="auto"/>
        <w:ind w:firstLine="540"/>
        <w:jc w:val="both"/>
      </w:pPr>
      <w:r>
        <w:rPr>
          <w:sz w:val="20"/>
        </w:rPr>
        <w:t xml:space="preserve">создание условий для взаимодействия всех контролируемых лиц и органов государственного строительного надзора посредством единого информационного пространства строительного надзора.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снижена административная нагрузка на застройщиков при сохранении уровня безопасности строящегося, реконструируемого объекта капитального строительства;</w:t>
      </w:r>
    </w:p>
    <w:p>
      <w:pPr>
        <w:pStyle w:val="0"/>
        <w:spacing w:before="200" w:line-rule="auto"/>
        <w:ind w:firstLine="540"/>
        <w:jc w:val="both"/>
      </w:pPr>
      <w:r>
        <w:rPr>
          <w:sz w:val="20"/>
        </w:rPr>
        <w:t xml:space="preserve">сокращено количество объектов, в отношении которых проводится государственный строительный надзор;</w:t>
      </w:r>
    </w:p>
    <w:p>
      <w:pPr>
        <w:pStyle w:val="0"/>
        <w:spacing w:before="200" w:line-rule="auto"/>
        <w:ind w:firstLine="540"/>
        <w:jc w:val="both"/>
      </w:pPr>
      <w:r>
        <w:rPr>
          <w:sz w:val="20"/>
        </w:rPr>
        <w:t xml:space="preserve">установлены требования к лицам, проводящим строительный контроль, в рамках предлагаемой аттестации в целях реализации пилотного проекта, а также их ответственность;</w:t>
      </w:r>
    </w:p>
    <w:p>
      <w:pPr>
        <w:pStyle w:val="0"/>
        <w:spacing w:before="200" w:line-rule="auto"/>
        <w:ind w:firstLine="540"/>
        <w:jc w:val="both"/>
      </w:pPr>
      <w:r>
        <w:rPr>
          <w:sz w:val="20"/>
        </w:rPr>
        <w:t xml:space="preserve">обеспечена возможность обмена документов при осуществлении государственного строительного надзора в электронном виде.</w:t>
      </w:r>
    </w:p>
    <w:p>
      <w:pPr>
        <w:pStyle w:val="0"/>
        <w:jc w:val="both"/>
      </w:pPr>
      <w:r>
        <w:rPr>
          <w:sz w:val="20"/>
        </w:rPr>
      </w:r>
    </w:p>
    <w:p>
      <w:pPr>
        <w:pStyle w:val="2"/>
        <w:outlineLvl w:val="3"/>
        <w:jc w:val="center"/>
      </w:pPr>
      <w:r>
        <w:rPr>
          <w:sz w:val="20"/>
        </w:rPr>
        <w:t xml:space="preserve">Совершенствование института саморегулирования</w:t>
      </w:r>
    </w:p>
    <w:p>
      <w:pPr>
        <w:pStyle w:val="2"/>
        <w:jc w:val="center"/>
      </w:pPr>
      <w:r>
        <w:rPr>
          <w:sz w:val="20"/>
        </w:rPr>
        <w:t xml:space="preserve">в строительной отрасли</w:t>
      </w:r>
    </w:p>
    <w:p>
      <w:pPr>
        <w:pStyle w:val="0"/>
        <w:jc w:val="both"/>
      </w:pPr>
      <w:r>
        <w:rPr>
          <w:sz w:val="20"/>
        </w:rPr>
      </w:r>
    </w:p>
    <w:p>
      <w:pPr>
        <w:pStyle w:val="0"/>
        <w:ind w:firstLine="540"/>
        <w:jc w:val="both"/>
      </w:pPr>
      <w:r>
        <w:rPr>
          <w:sz w:val="20"/>
        </w:rPr>
        <w:t xml:space="preserve">Институт саморегулирования является эффективным способом снижения прямого государственного регулирования и сокращения административных барьеров.</w:t>
      </w:r>
    </w:p>
    <w:p>
      <w:pPr>
        <w:pStyle w:val="0"/>
        <w:spacing w:before="200" w:line-rule="auto"/>
        <w:ind w:firstLine="540"/>
        <w:jc w:val="both"/>
      </w:pPr>
      <w:r>
        <w:rPr>
          <w:sz w:val="20"/>
        </w:rPr>
        <w:t xml:space="preserve">Основным содержанием деятельности саморегулируемых организаций является обеспечение допуска на рынок только квалифицированных подрядчиков путем разработки и утверждения стандартов и правил предпринимательской деятельности, а также в дополнение к государственному надзору - контроль за соблюдением обязательных требований.</w:t>
      </w:r>
    </w:p>
    <w:p>
      <w:pPr>
        <w:pStyle w:val="0"/>
        <w:spacing w:before="200" w:line-rule="auto"/>
        <w:ind w:firstLine="540"/>
        <w:jc w:val="both"/>
      </w:pPr>
      <w:r>
        <w:rPr>
          <w:sz w:val="20"/>
        </w:rPr>
        <w:t xml:space="preserve">При этом саморегулируемыми организациями формируются компенсационный фонд возмещения вреда и компенсационный фонд обеспечения договорных обязательств, средствами которых они отвечают по обязательствам своих членов, возникшим вследствие причинения вреда потребителям работ, услуг.</w:t>
      </w:r>
    </w:p>
    <w:p>
      <w:pPr>
        <w:pStyle w:val="0"/>
        <w:spacing w:before="200" w:line-rule="auto"/>
        <w:ind w:firstLine="540"/>
        <w:jc w:val="both"/>
      </w:pPr>
      <w:r>
        <w:rPr>
          <w:sz w:val="20"/>
        </w:rPr>
        <w:t xml:space="preserve">В целях повышения качества подрядных работ и предупреждения причинения вреда потребителям работ, услуг введен институт национальных реестров специалистов, устанавливающий квалификационные требования к работникам членов саморегулируемых организаций (главным инженерам проектов, главным архитекторам проектов), ответственным за качество работ, их должностные обязанности, а также их персональную ответственность за принимаемые решения, обеспечивающие безопасность в строительстве.</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низкая эффективность реализации функций саморегулируемых организаций по допуску подрядчиков на профессиональный рынок, низкая информационная открытость деятельности саморегулируемых организаций;</w:t>
      </w:r>
    </w:p>
    <w:p>
      <w:pPr>
        <w:pStyle w:val="0"/>
        <w:spacing w:before="200" w:line-rule="auto"/>
        <w:ind w:firstLine="540"/>
        <w:jc w:val="both"/>
      </w:pPr>
      <w:r>
        <w:rPr>
          <w:sz w:val="20"/>
        </w:rPr>
        <w:t xml:space="preserve">необходимость перехода к системной контрольной деятельности саморегулируемых организаций и рейтинговой оценке деятельности членов саморегулируемых организаций, обеспечивающих минимизацию рисков выплат из средств компенсационных фондов саморегулируемых организаций;</w:t>
      </w:r>
    </w:p>
    <w:p>
      <w:pPr>
        <w:pStyle w:val="0"/>
        <w:spacing w:before="200" w:line-rule="auto"/>
        <w:ind w:firstLine="540"/>
        <w:jc w:val="both"/>
      </w:pPr>
      <w:r>
        <w:rPr>
          <w:sz w:val="20"/>
        </w:rPr>
        <w:t xml:space="preserve">необходимость повышения качества подрядных работ, услуг и обеспечения безопасности строительства объектов капитального строительства.</w:t>
      </w:r>
    </w:p>
    <w:p>
      <w:pPr>
        <w:pStyle w:val="0"/>
        <w:spacing w:before="200" w:line-rule="auto"/>
        <w:ind w:firstLine="540"/>
        <w:jc w:val="both"/>
      </w:pPr>
      <w:r>
        <w:rPr>
          <w:sz w:val="20"/>
        </w:rPr>
        <w:t xml:space="preserve">Задачей является использование потенциала саморегулирования для создания системы эффективного отбора профессиональных участников строительного рынка, повышения качества работ и услуг, обеспечения безопасности строительства объектов капитального 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поэтапное с апробированием в 2025 году на пилотных субъектах Российской Федерации введение добровольного механизма отбора подрядчиков с использованием программного обеспечения и оценочных средств, позволяющих определять из открытых источников деловую репутацию подрядчика, его фактические компетенции по нефинансовым критериям;</w:t>
      </w:r>
    </w:p>
    <w:p>
      <w:pPr>
        <w:pStyle w:val="0"/>
        <w:spacing w:before="200" w:line-rule="auto"/>
        <w:ind w:firstLine="540"/>
        <w:jc w:val="both"/>
      </w:pPr>
      <w:r>
        <w:rPr>
          <w:sz w:val="20"/>
        </w:rPr>
        <w:t xml:space="preserve">формирование условий, стимулирующих самоконтроль саморегулируемых организаций, в том числе за счет оценки деятельности подрядчиков, расширения случаев выплат из средств компенсационных фондов саморегулируемых организаций;</w:t>
      </w:r>
    </w:p>
    <w:p>
      <w:pPr>
        <w:pStyle w:val="0"/>
        <w:spacing w:before="200" w:line-rule="auto"/>
        <w:ind w:firstLine="540"/>
        <w:jc w:val="both"/>
      </w:pPr>
      <w:r>
        <w:rPr>
          <w:sz w:val="20"/>
        </w:rPr>
        <w:t xml:space="preserve">создание информационного ресурса саморегулирования в строительной отрасли, содержащего сведения о членах всех саморегулируемых организаций и их обязательствах по договорам подряда, синхронизированного со сведениями национальных реестров специалистов;</w:t>
      </w:r>
    </w:p>
    <w:p>
      <w:pPr>
        <w:pStyle w:val="0"/>
        <w:spacing w:before="200" w:line-rule="auto"/>
        <w:ind w:firstLine="540"/>
        <w:jc w:val="both"/>
      </w:pPr>
      <w:r>
        <w:rPr>
          <w:sz w:val="20"/>
        </w:rPr>
        <w:t xml:space="preserve">переход к независимой оценке квалификации специалистов, сведения о которых включаются в национальные реестры специалистов;</w:t>
      </w:r>
    </w:p>
    <w:p>
      <w:pPr>
        <w:pStyle w:val="0"/>
        <w:spacing w:before="200" w:line-rule="auto"/>
        <w:ind w:firstLine="540"/>
        <w:jc w:val="both"/>
      </w:pPr>
      <w:r>
        <w:rPr>
          <w:sz w:val="20"/>
        </w:rPr>
        <w:t xml:space="preserve">формирование эффективного механизма соразмерной персональной ответственности главных инженеров проектов и главных архитекторов проектов, предусматривающего случаи исключения сведений о данных специалистах из национального реестра специалистов или отказа во включении сведений о них в данный реестр, связанные с привлечением таких специалистов к ответственности за нарушения градостроительного законодательства.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введена система добровольной предварительной квалификации участников строительного рынка и добровольной рейтинговой оценки деятельности подрядчиков для усиления контроля саморегулируемых организаций за добросовестным исполнением договоров подряда;</w:t>
      </w:r>
    </w:p>
    <w:p>
      <w:pPr>
        <w:pStyle w:val="0"/>
        <w:spacing w:before="200" w:line-rule="auto"/>
        <w:ind w:firstLine="540"/>
        <w:jc w:val="both"/>
      </w:pPr>
      <w:r>
        <w:rPr>
          <w:sz w:val="20"/>
        </w:rPr>
        <w:t xml:space="preserve">создан единый реестр сведений о членах саморегулируемых организаций и их обязательствах, позволяющий заказчикам получать сведения о потенциальном подрядчике в режиме онлайн;</w:t>
      </w:r>
    </w:p>
    <w:p>
      <w:pPr>
        <w:pStyle w:val="0"/>
        <w:spacing w:before="200" w:line-rule="auto"/>
        <w:ind w:firstLine="540"/>
        <w:jc w:val="both"/>
      </w:pPr>
      <w:r>
        <w:rPr>
          <w:sz w:val="20"/>
        </w:rPr>
        <w:t xml:space="preserve">усилена финансовая ответственность саморегулируемых организаций за деятельностью своих членов, обеспечивающая эффективное выполнение функций саморегулируемых организаций;</w:t>
      </w:r>
    </w:p>
    <w:p>
      <w:pPr>
        <w:pStyle w:val="0"/>
        <w:spacing w:before="200" w:line-rule="auto"/>
        <w:ind w:firstLine="540"/>
        <w:jc w:val="both"/>
      </w:pPr>
      <w:r>
        <w:rPr>
          <w:sz w:val="20"/>
        </w:rPr>
        <w:t xml:space="preserve">созданы условия для исключения ряда существующих административных процедур, в том числе проведения экспертизы проектной документации или инженерных изысканий, за счет допуска к выполнению работ квалифицированных специалистов 5 - 7 уровня квалификации;</w:t>
      </w:r>
    </w:p>
    <w:p>
      <w:pPr>
        <w:pStyle w:val="0"/>
        <w:spacing w:before="200" w:line-rule="auto"/>
        <w:ind w:firstLine="540"/>
        <w:jc w:val="both"/>
      </w:pPr>
      <w:r>
        <w:rPr>
          <w:sz w:val="20"/>
        </w:rPr>
        <w:t xml:space="preserve">повышен уровень качества выполняемых работ членами саморегулируемых организаций за счет усиления персональной ответственности главных инженеров проекта и главных архитекторов проекта.</w:t>
      </w:r>
    </w:p>
    <w:p>
      <w:pPr>
        <w:pStyle w:val="0"/>
        <w:jc w:val="both"/>
      </w:pPr>
      <w:r>
        <w:rPr>
          <w:sz w:val="20"/>
        </w:rPr>
      </w:r>
    </w:p>
    <w:p>
      <w:pPr>
        <w:pStyle w:val="2"/>
        <w:outlineLvl w:val="3"/>
        <w:jc w:val="center"/>
      </w:pPr>
      <w:r>
        <w:rPr>
          <w:sz w:val="20"/>
        </w:rPr>
        <w:t xml:space="preserve">Развитие института экспертизы проектной документации</w:t>
      </w:r>
    </w:p>
    <w:p>
      <w:pPr>
        <w:pStyle w:val="2"/>
        <w:jc w:val="center"/>
      </w:pPr>
      <w:r>
        <w:rPr>
          <w:sz w:val="20"/>
        </w:rPr>
        <w:t xml:space="preserve">и результатов инженерных изысканий</w:t>
      </w:r>
    </w:p>
    <w:p>
      <w:pPr>
        <w:pStyle w:val="0"/>
        <w:jc w:val="both"/>
      </w:pPr>
      <w:r>
        <w:rPr>
          <w:sz w:val="20"/>
        </w:rPr>
      </w:r>
    </w:p>
    <w:p>
      <w:pPr>
        <w:pStyle w:val="0"/>
        <w:ind w:firstLine="540"/>
        <w:jc w:val="both"/>
      </w:pPr>
      <w:r>
        <w:rPr>
          <w:sz w:val="20"/>
        </w:rPr>
        <w:t xml:space="preserve">Институт экспертизы проектной документации и результатов инженерных изысканий - один из механизмов обеспечения безопасности объекта капитального строительства.</w:t>
      </w:r>
    </w:p>
    <w:p>
      <w:pPr>
        <w:pStyle w:val="0"/>
        <w:spacing w:before="200" w:line-rule="auto"/>
        <w:ind w:firstLine="540"/>
        <w:jc w:val="both"/>
      </w:pPr>
      <w:r>
        <w:rPr>
          <w:sz w:val="20"/>
        </w:rPr>
        <w:t xml:space="preserve">В настоящее время в отношении проектной документации объекта капитального строительства предусмотрено проведение государственной или негосударственной экспертизы проектной документации, а в отдельных случаях - государственной историко-культурной экспертизы и (или) государственной экологической экспертизы.</w:t>
      </w:r>
    </w:p>
    <w:p>
      <w:pPr>
        <w:pStyle w:val="0"/>
        <w:spacing w:before="200" w:line-rule="auto"/>
        <w:ind w:firstLine="540"/>
        <w:jc w:val="both"/>
      </w:pPr>
      <w:r>
        <w:rPr>
          <w:sz w:val="20"/>
        </w:rPr>
        <w:t xml:space="preserve">С 1 сентября 2022 г. реализована возможность проведения экспертизы проектной документации и государственной экологической экспертизы по принципу "одного окна". Указанные экспертизы проводятся параллельно.</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необходимость перехода от последовательного прохождения процедур, связанных с подготовкой проектной документации и строительством объекта, к параллельному проектированию и строительству;</w:t>
      </w:r>
    </w:p>
    <w:p>
      <w:pPr>
        <w:pStyle w:val="0"/>
        <w:spacing w:before="200" w:line-rule="auto"/>
        <w:ind w:firstLine="540"/>
        <w:jc w:val="both"/>
      </w:pPr>
      <w:r>
        <w:rPr>
          <w:sz w:val="20"/>
        </w:rPr>
        <w:t xml:space="preserve">необходимость повышения качества и скорости взаимодействия всех органов (организаций), осуществляющих проведение экспертизы, а также иных участников инвестиционно-строительного процесса.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условий для взаимодействия участников инвестиционно-строительного процесса и всех органов (организаций), осуществляющих проведение экспертизы в единой цифровой среде;</w:t>
      </w:r>
    </w:p>
    <w:p>
      <w:pPr>
        <w:pStyle w:val="0"/>
        <w:spacing w:before="200" w:line-rule="auto"/>
        <w:ind w:firstLine="540"/>
        <w:jc w:val="both"/>
      </w:pPr>
      <w:r>
        <w:rPr>
          <w:sz w:val="20"/>
        </w:rPr>
        <w:t xml:space="preserve">закрепление возможности начала строительства на более ранней стадии (параллельно с проектированием) с использованием механизма экспертного сопровождения подготовки проектной документации с учетом требований законодательства об экологической экспертизе;</w:t>
      </w:r>
    </w:p>
    <w:p>
      <w:pPr>
        <w:pStyle w:val="0"/>
        <w:spacing w:before="200" w:line-rule="auto"/>
        <w:ind w:firstLine="540"/>
        <w:jc w:val="both"/>
      </w:pPr>
      <w:r>
        <w:rPr>
          <w:sz w:val="20"/>
        </w:rPr>
        <w:t xml:space="preserve">исключение дублирования процедур оценки проектной документации, проводимой в рамках экспертизы проектной документации, экологической и историко-культурной экспертиз.</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внедрение единая цифровая платформа экспертизы с последующей интеграцией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для взаимодействия всех органов (организаций), осуществляющих проведение экспертизы, участников инвестиционно-строительного процесса в рамках единой цифровой среды;</w:t>
      </w:r>
    </w:p>
    <w:p>
      <w:pPr>
        <w:pStyle w:val="0"/>
        <w:spacing w:before="200" w:line-rule="auto"/>
        <w:ind w:firstLine="540"/>
        <w:jc w:val="both"/>
      </w:pPr>
      <w:r>
        <w:rPr>
          <w:sz w:val="20"/>
        </w:rPr>
        <w:t xml:space="preserve">организация проведения экспертизы проектной документации в форме экспертного сопровождения подготовки проектной документации;</w:t>
      </w:r>
    </w:p>
    <w:p>
      <w:pPr>
        <w:pStyle w:val="0"/>
        <w:spacing w:before="200" w:line-rule="auto"/>
        <w:ind w:firstLine="540"/>
        <w:jc w:val="both"/>
      </w:pPr>
      <w:r>
        <w:rPr>
          <w:sz w:val="20"/>
        </w:rPr>
        <w:t xml:space="preserve">синхронизация и оптимизация процедур, предусмотренных экспертизой проектной документации, экологической и историко-культурной экспертизами, сокращение перечня объектов, в отношении которых проводится экспертиза проектной документации.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повышено качество проектных решений, исключена необходимость существенных корректировок проектной документации в процессе строительства;</w:t>
      </w:r>
    </w:p>
    <w:p>
      <w:pPr>
        <w:pStyle w:val="0"/>
        <w:spacing w:before="200" w:line-rule="auto"/>
        <w:ind w:firstLine="540"/>
        <w:jc w:val="both"/>
      </w:pPr>
      <w:r>
        <w:rPr>
          <w:sz w:val="20"/>
        </w:rPr>
        <w:t xml:space="preserve">исключены излишние процедуры, связанные с рассмотрением проектной документации во всех органах (организациях), осуществляющих проведение экспертизы;</w:t>
      </w:r>
    </w:p>
    <w:p>
      <w:pPr>
        <w:pStyle w:val="0"/>
        <w:spacing w:before="200" w:line-rule="auto"/>
        <w:ind w:firstLine="540"/>
        <w:jc w:val="both"/>
      </w:pPr>
      <w:r>
        <w:rPr>
          <w:sz w:val="20"/>
        </w:rPr>
        <w:t xml:space="preserve">обеспечено формирование единой цифровой среды для всех участников инвестиционно-строительного процесса.</w:t>
      </w:r>
    </w:p>
    <w:p>
      <w:pPr>
        <w:pStyle w:val="0"/>
        <w:jc w:val="both"/>
      </w:pPr>
      <w:r>
        <w:rPr>
          <w:sz w:val="20"/>
        </w:rPr>
      </w:r>
    </w:p>
    <w:p>
      <w:pPr>
        <w:pStyle w:val="2"/>
        <w:outlineLvl w:val="1"/>
        <w:jc w:val="center"/>
      </w:pPr>
      <w:r>
        <w:rPr>
          <w:sz w:val="20"/>
        </w:rPr>
        <w:t xml:space="preserve">VI. Развитие жилищно-коммунального хозяйства</w:t>
      </w:r>
    </w:p>
    <w:p>
      <w:pPr>
        <w:pStyle w:val="0"/>
        <w:jc w:val="both"/>
      </w:pPr>
      <w:r>
        <w:rPr>
          <w:sz w:val="20"/>
        </w:rPr>
      </w:r>
    </w:p>
    <w:p>
      <w:pPr>
        <w:pStyle w:val="0"/>
        <w:ind w:firstLine="540"/>
        <w:jc w:val="both"/>
      </w:pPr>
      <w:r>
        <w:rPr>
          <w:sz w:val="20"/>
        </w:rPr>
        <w:t xml:space="preserve">Развитие коммунальной и жилищной сферы в Российской Федерации привело к определенным улучшениям в этих отраслях. Так, если в 2010 году лишь 39 процентов граждан устраивало качество жилищно-коммунальных услуг, то в 2019 году, по данным опроса Всероссийского центра изучения общественного мнения, доля таких граждан увеличилась до 60 процентов.</w:t>
      </w:r>
    </w:p>
    <w:p>
      <w:pPr>
        <w:pStyle w:val="0"/>
        <w:spacing w:before="200" w:line-rule="auto"/>
        <w:ind w:firstLine="540"/>
        <w:jc w:val="both"/>
      </w:pPr>
      <w:r>
        <w:rPr>
          <w:sz w:val="20"/>
        </w:rPr>
        <w:t xml:space="preserve">В то же время состояние коммунальной и жилищной сферы в Российской Федерации имеет существенные региональные, а также муниципальные различия. Значительная часть систем и объектов жилищно-коммунального хозяйства нуждается в качественной технологической модернизации с привлечением существенного объема инвестиций. Причиной такого положения в первую очередь является недостаточная эффективность деятельности организаций и предприятий жилищно-коммунального хозяйства, обусловленная недостатками применяемых методов ценового регулирования, отсутствием мотивации к снижению затрат, повышению энергоэффективности систем инженерно-технического обеспечения и внедрению новых технологий при их строительстве и эксплуатации, отсутствие сформированной системы технического обследования объектов коммунальной инфраструктуры и жилищного фонда.</w:t>
      </w:r>
    </w:p>
    <w:p>
      <w:pPr>
        <w:pStyle w:val="0"/>
        <w:spacing w:before="200" w:line-rule="auto"/>
        <w:ind w:firstLine="540"/>
        <w:jc w:val="both"/>
      </w:pPr>
      <w:r>
        <w:rPr>
          <w:sz w:val="20"/>
        </w:rPr>
        <w:t xml:space="preserve">Актуальной остается проблема ветшания сетей инженерно-технического обеспечения. Более 40 процентов линейных объектов сферы жилищно-коммунального хозяйства нуждается в замене (391 из 940 тыс. километров сетей), в том числе:</w:t>
      </w:r>
    </w:p>
    <w:p>
      <w:pPr>
        <w:pStyle w:val="0"/>
        <w:spacing w:before="200" w:line-rule="auto"/>
        <w:ind w:firstLine="540"/>
        <w:jc w:val="both"/>
      </w:pPr>
      <w:r>
        <w:rPr>
          <w:sz w:val="20"/>
        </w:rPr>
        <w:t xml:space="preserve">сетей водоснабжения 43,4 процента (249 тыс. километров из 574 тыс. километров);</w:t>
      </w:r>
    </w:p>
    <w:p>
      <w:pPr>
        <w:pStyle w:val="0"/>
        <w:spacing w:before="200" w:line-rule="auto"/>
        <w:ind w:firstLine="540"/>
        <w:jc w:val="both"/>
      </w:pPr>
      <w:r>
        <w:rPr>
          <w:sz w:val="20"/>
        </w:rPr>
        <w:t xml:space="preserve">сетей теплоснабжения 30 процентов (50 тыс. километров из 167 тыс. километров);</w:t>
      </w:r>
    </w:p>
    <w:p>
      <w:pPr>
        <w:pStyle w:val="0"/>
        <w:spacing w:before="200" w:line-rule="auto"/>
        <w:ind w:firstLine="540"/>
        <w:jc w:val="both"/>
      </w:pPr>
      <w:r>
        <w:rPr>
          <w:sz w:val="20"/>
        </w:rPr>
        <w:t xml:space="preserve">сетей водоотведения 46 процентов (92 тыс. километров из 199 тыс. километров).</w:t>
      </w:r>
    </w:p>
    <w:p>
      <w:pPr>
        <w:pStyle w:val="0"/>
        <w:spacing w:before="200" w:line-rule="auto"/>
        <w:ind w:firstLine="540"/>
        <w:jc w:val="both"/>
      </w:pPr>
      <w:r>
        <w:rPr>
          <w:sz w:val="20"/>
        </w:rPr>
        <w:t xml:space="preserve">Высокий износ коммунальной инфраструктуры является основным фактором, влияющим на объем потерь ресурсов в сетях инженерно-технического обеспечения, а также причиной их высокой аварийности. По данным системы мониторинга и контроля устранения аварий и инцидентов на объектах жилищно-коммунального хозяйства, ежемесячно происходит в среднем 6600 происшествий, средняя продолжительность перерыва в поставках коммунальных услуг составляет около 9 часов 45 минут.</w:t>
      </w:r>
    </w:p>
    <w:p>
      <w:pPr>
        <w:pStyle w:val="0"/>
        <w:spacing w:before="200" w:line-rule="auto"/>
        <w:ind w:firstLine="540"/>
        <w:jc w:val="both"/>
      </w:pPr>
      <w:r>
        <w:rPr>
          <w:sz w:val="20"/>
        </w:rPr>
        <w:t xml:space="preserve">В целях предотвращения деградации систем инженерно-технического обеспечения необходимо для ускоренного обновления основных фондов жилищно-коммунального хозяйства обеспечить ежегодный уровень замены сетей инженерно-технического обеспечения не ниже 5 процентов их общей протяженности.</w:t>
      </w:r>
    </w:p>
    <w:p>
      <w:pPr>
        <w:pStyle w:val="0"/>
        <w:spacing w:before="200" w:line-rule="auto"/>
        <w:ind w:firstLine="540"/>
        <w:jc w:val="both"/>
      </w:pPr>
      <w:r>
        <w:rPr>
          <w:sz w:val="20"/>
        </w:rPr>
        <w:t xml:space="preserve">Высокая изношенность коммунальной инфраструктуры, отставание темпов замены сетей инженерно-технического обеспечения от требуемого согласно нормативному сроку их службы, высокая аварийность являются следствием значительного недоинвестирования отрасли жилищно-коммунального хозяйства.</w:t>
      </w:r>
    </w:p>
    <w:p>
      <w:pPr>
        <w:pStyle w:val="0"/>
        <w:spacing w:before="200" w:line-rule="auto"/>
        <w:ind w:firstLine="540"/>
        <w:jc w:val="both"/>
      </w:pPr>
      <w:r>
        <w:rPr>
          <w:sz w:val="20"/>
        </w:rPr>
        <w:t xml:space="preserve">Необходимо обеспечить проведение мероприятий по замене ветхих сетей инженерно-технического обеспечения во всех субъектах Российской Федерации, в том числе с привлечением бюджетных средств, а также внебюджетных источников финансирования в порядке, определяемом Правительством Российской Федерации, что потребует принятия субъектами Российской Федерации оптимальных тарифных решений, гарантирующих необходимый уровень внебюджетных инвестиций.</w:t>
      </w:r>
    </w:p>
    <w:p>
      <w:pPr>
        <w:pStyle w:val="0"/>
        <w:spacing w:before="200" w:line-rule="auto"/>
        <w:ind w:firstLine="540"/>
        <w:jc w:val="both"/>
      </w:pPr>
      <w:r>
        <w:rPr>
          <w:sz w:val="20"/>
        </w:rPr>
        <w:t xml:space="preserve">Отдельной важной задачей является тарифная политика. Характерной особенностью тарифного регулирования в сфере жилищно-коммунального хозяйства в Российской Федерации остается существенный разброс цен и тарифов, который обусловлен в одних случаях региональными особенностями формирования энергетических и коммунальных систем, в других - жестким регулированием, в-третьих - низкой эффективностью организаций жилищно-коммунального хозяйства.</w:t>
      </w:r>
    </w:p>
    <w:p>
      <w:pPr>
        <w:pStyle w:val="0"/>
        <w:spacing w:before="200" w:line-rule="auto"/>
        <w:ind w:firstLine="540"/>
        <w:jc w:val="both"/>
      </w:pPr>
      <w:r>
        <w:rPr>
          <w:sz w:val="20"/>
        </w:rPr>
        <w:t xml:space="preserve">Обеспечением обновления инфраструктуры и гарантированного возврата вложенных инвестиций должна стать сбалансированная и экономически обоснованная тарифная политика, включающая в себя разработку сбалансированной модели тарифного регулирования в сфере коммунального хозяйства, основанная на следующих базовых принципах:</w:t>
      </w:r>
    </w:p>
    <w:p>
      <w:pPr>
        <w:pStyle w:val="0"/>
        <w:spacing w:before="200" w:line-rule="auto"/>
        <w:ind w:firstLine="540"/>
        <w:jc w:val="both"/>
      </w:pPr>
      <w:r>
        <w:rPr>
          <w:sz w:val="20"/>
        </w:rPr>
        <w:t xml:space="preserve">запрет пересмотра и корректировки тарифов и долгосрочных параметров регулирования деятельности организаций жилищно-коммунального хозяйства в течение долгосрочного периода;</w:t>
      </w:r>
    </w:p>
    <w:p>
      <w:pPr>
        <w:pStyle w:val="0"/>
        <w:spacing w:before="200" w:line-rule="auto"/>
        <w:ind w:firstLine="540"/>
        <w:jc w:val="both"/>
      </w:pPr>
      <w:r>
        <w:rPr>
          <w:sz w:val="20"/>
        </w:rPr>
        <w:t xml:space="preserve">сохранение экономии, полученной в результате проведения мероприятий по модернизации коммунальной инфраструктуры, внедрения новых технологий и сокращения неэффективных расходов при достижении ими плановых значений показателей надежности, качества и энергетической эффективности систем инженерно-технического обеспечения;</w:t>
      </w:r>
    </w:p>
    <w:p>
      <w:pPr>
        <w:pStyle w:val="0"/>
        <w:spacing w:before="200" w:line-rule="auto"/>
        <w:ind w:firstLine="540"/>
        <w:jc w:val="both"/>
      </w:pPr>
      <w:r>
        <w:rPr>
          <w:sz w:val="20"/>
        </w:rPr>
        <w:t xml:space="preserve">обеспечение учета объективных условий функционирования организаций жилищно-коммунального хозяйства, таких как масштаб деятельности, обеспеченность собственными ресурсами, фактическое состояние коммунальной инфраструктуры и технические возможности оптимизации;</w:t>
      </w:r>
    </w:p>
    <w:p>
      <w:pPr>
        <w:pStyle w:val="0"/>
        <w:spacing w:before="200" w:line-rule="auto"/>
        <w:ind w:firstLine="540"/>
        <w:jc w:val="both"/>
      </w:pPr>
      <w:r>
        <w:rPr>
          <w:sz w:val="20"/>
        </w:rPr>
        <w:t xml:space="preserve">закрепление долгосрочных гарантий возврата и доходности инвестиций (в том числе за счет достигаемых в результате реализации проектов эффектов (дополнительной прибыли) для потребителей), формирование стабильного инвестиционного цикла регулируемых организаций, с ориентацией на применение российских материалов и технологий в проектах модернизации коммунальной инфраструктуры;</w:t>
      </w:r>
    </w:p>
    <w:p>
      <w:pPr>
        <w:pStyle w:val="0"/>
        <w:spacing w:before="200" w:line-rule="auto"/>
        <w:ind w:firstLine="540"/>
        <w:jc w:val="both"/>
      </w:pPr>
      <w:r>
        <w:rPr>
          <w:sz w:val="20"/>
        </w:rPr>
        <w:t xml:space="preserve">установление целевых параметров роста операционной и инвестиционной эффективности организаций жилищно-коммунального хозяйства по итогам первого (пилотного) этапа реализации целевой модели тарифного регулирования (в том числе темпа сокращения операционных расходов, уменьшения износа систем инженерно-технического обеспечения, доли ветхих сетей инженерно-технического обеспечения);</w:t>
      </w:r>
    </w:p>
    <w:p>
      <w:pPr>
        <w:pStyle w:val="0"/>
        <w:spacing w:before="200" w:line-rule="auto"/>
        <w:ind w:firstLine="540"/>
        <w:jc w:val="both"/>
      </w:pPr>
      <w:r>
        <w:rPr>
          <w:sz w:val="20"/>
        </w:rPr>
        <w:t xml:space="preserve">создание единой цифровой тарифной платформы, обеспечивающей прозрачность и эффективность тарифного регулирования и контроля инвестиционных программ.</w:t>
      </w:r>
    </w:p>
    <w:p>
      <w:pPr>
        <w:pStyle w:val="0"/>
        <w:spacing w:before="200" w:line-rule="auto"/>
        <w:ind w:firstLine="540"/>
        <w:jc w:val="both"/>
      </w:pPr>
      <w:r>
        <w:rPr>
          <w:sz w:val="20"/>
        </w:rPr>
        <w:t xml:space="preserve">Одним из механизмов привлечения внебюджетных средств для обновления объектов коммунальной инфраструктуры являются концессионные соглашения. По состоянию на 1 апреля 2022 г. заключено и действует 2,4 тыс. концессионных соглашений, при этом общий объем инвестиций (нарастающим итогом), предусмотренный в рамках данных концессионных соглашений, составляет около 713,6 млрд. рублей, в том числе средства частных инвесторов - более 87,25 процента общего количества планируемых к инвестированию средств.</w:t>
      </w:r>
    </w:p>
    <w:p>
      <w:pPr>
        <w:pStyle w:val="0"/>
        <w:spacing w:before="200" w:line-rule="auto"/>
        <w:ind w:firstLine="540"/>
        <w:jc w:val="both"/>
      </w:pPr>
      <w:r>
        <w:rPr>
          <w:sz w:val="20"/>
        </w:rPr>
        <w:t xml:space="preserve">Механизм концессионных соглашений показал свою эффективность в крупных муниципальных образованиях с привлекательными для инвесторов тарифами на объекты коммунальной инфраструктуры. В то же время существует значительное количество малых городов и сельских поселений, в которых концессионный механизм не является для инвесторов привлекательным и эффективным.</w:t>
      </w:r>
    </w:p>
    <w:p>
      <w:pPr>
        <w:pStyle w:val="0"/>
        <w:spacing w:before="200" w:line-rule="auto"/>
        <w:ind w:firstLine="540"/>
        <w:jc w:val="both"/>
      </w:pPr>
      <w:r>
        <w:rPr>
          <w:sz w:val="20"/>
        </w:rPr>
        <w:t xml:space="preserve">Еще одной системной проблемой жилищно-коммунального хозяйства является задолженность граждан и организаций за потребленные услуги и ресурсы. Долги за ресурсы и услуги предприятий жилищно-коммунального хозяйства со стороны организаций и населения по итогам 2021 года составили почти 1,5 трлн. рублей, из них долги населения и исполнителей коммунальных услуг - 943 млрд. рублей, организаций, финансируемых из бюджетов всех уровней, - 57 млрд. рублей, прочих потребителей, в том числе за коммунальные услуги, - 478 млрд. рублей.</w:t>
      </w:r>
    </w:p>
    <w:p>
      <w:pPr>
        <w:pStyle w:val="0"/>
        <w:spacing w:before="200" w:line-rule="auto"/>
        <w:ind w:firstLine="540"/>
        <w:jc w:val="both"/>
      </w:pPr>
      <w:r>
        <w:rPr>
          <w:sz w:val="20"/>
        </w:rPr>
        <w:t xml:space="preserve">Способствовать решению проблемы задолженности может повышение доли коммунальных ресурсов и услуг, оплаченных по показаниям приборов учета. В целях оснащения жилищного фонда интеллектуальными системами учета потребляемых коммунальных услуг и ресурсов планируется разработка и внедрение стандарта, способствующего интеграции со связанными системами, в том числе в рамках реализации проекта "умный город".</w:t>
      </w:r>
    </w:p>
    <w:p>
      <w:pPr>
        <w:pStyle w:val="0"/>
        <w:spacing w:before="200" w:line-rule="auto"/>
        <w:ind w:firstLine="540"/>
        <w:jc w:val="both"/>
      </w:pPr>
      <w:r>
        <w:rPr>
          <w:sz w:val="20"/>
        </w:rPr>
        <w:t xml:space="preserve">На конец 2021 года в Российской Федерации насчитывается более 1,62 млн. многоквартирных домов общей площадью жилых помещений около 2,5 млрд. кв. метров, из них 98 процентов управляются объединениями собственников или управляющими организациями.</w:t>
      </w:r>
    </w:p>
    <w:p>
      <w:pPr>
        <w:pStyle w:val="0"/>
        <w:spacing w:before="200" w:line-rule="auto"/>
        <w:ind w:firstLine="540"/>
        <w:jc w:val="both"/>
      </w:pPr>
      <w:r>
        <w:rPr>
          <w:sz w:val="20"/>
        </w:rPr>
        <w:t xml:space="preserve">С 1 сентября 2014 г. вступили в силу изменения в Жилищный </w:t>
      </w:r>
      <w:hyperlink w:history="0" r:id="rId5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w:t>
        </w:r>
      </w:hyperlink>
      <w:r>
        <w:rPr>
          <w:sz w:val="20"/>
        </w:rPr>
        <w:t xml:space="preserve"> Российской Федерации, которыми введена процедура лицензирования предпринимательской деятельности по управлению многоквартирными домами. Сформированная система лицензионного контроля обеспечивает публичность и прозрачность процесса смены способа управления каждым многоквартирным домом или смены управляющей организации. Информация об управляющих организациях и поставщиках жилищно-коммунальных услуг в отношении каждого многоквартирного дома размещается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Вместе с тем отмечаются неразвитость института заказчиков работ и услуг для многоквартирных домов в лице собственников жилья и товариществ собственников жилья, недостаточная эффективность деятельности управляющих организаций, низкий уровень цифровизации услуг в сфере жилищно-коммунального хозяйства, сложности с реализацией полномочий органов местного самоуправления по выбору управляющих организаций или определению временных управляющих организаций в случае, если конкурс не состоялся.</w:t>
      </w:r>
    </w:p>
    <w:p>
      <w:pPr>
        <w:pStyle w:val="0"/>
        <w:spacing w:before="200" w:line-rule="auto"/>
        <w:ind w:firstLine="540"/>
        <w:jc w:val="both"/>
      </w:pPr>
      <w:r>
        <w:rPr>
          <w:sz w:val="20"/>
        </w:rPr>
        <w:t xml:space="preserve">Один из важных вопросов в сфере эксплуатации многоквартирных домов - безопасность эксплуатации внутридомового и внутриквартирного газового оборудования. Общее потребление природного газа в 2021 году в Российской Федерации составило более 500 млрд. куб. метров, из них на население пришлось около 11 процентов. Единая система газоснабжения обслуживает более 66 процентов жилищного фонда Российской Федерации, в отдельных регионах - более 95 процентов.</w:t>
      </w:r>
    </w:p>
    <w:p>
      <w:pPr>
        <w:pStyle w:val="0"/>
        <w:spacing w:before="200" w:line-rule="auto"/>
        <w:ind w:firstLine="540"/>
        <w:jc w:val="both"/>
      </w:pPr>
      <w:r>
        <w:rPr>
          <w:sz w:val="20"/>
        </w:rPr>
        <w:t xml:space="preserve">В Российской Федерации с 2014 года на постоянной и долгосрочной основе созданы и функционируют на региональном уровне механизмы капитального ремонта общего имущества в многоквартирных домах. В каждом регионе создан региональный оператор капитального ремонта, утверждены региональные программы капитального ремонта, установлены минимальные размеры взноса на капитальный ремонт. В региональные программы капитального ремонта включены 723 тыс. многоквартирных домов общей площадью 2,7 млрд. кв. метров (с учетом вспомогательных и нежилых помещений), в которых проживают 89 млн. человек.</w:t>
      </w:r>
    </w:p>
    <w:p>
      <w:pPr>
        <w:pStyle w:val="0"/>
        <w:spacing w:before="200" w:line-rule="auto"/>
        <w:ind w:firstLine="540"/>
        <w:jc w:val="both"/>
      </w:pPr>
      <w:r>
        <w:rPr>
          <w:sz w:val="20"/>
        </w:rPr>
        <w:t xml:space="preserve">Для реализации региональных программ капитального ремонта субъектами Российской Федерации утверждаются 3-летние краткосрочные планы их реализации. С начала реализации таких программ работы по капитальному ремонту проведены в более чем в 242 тыс. многоквартирных домах общей площадью более 876 млн. кв. метров, что позволило улучшить условия проживания более 32 млн. человек. Ежегодно капитальный ремонт проводится более чем в 45 тыс. многоквартирных домах, стоимость работ составляет более 180 млрд. рублей.</w:t>
      </w:r>
    </w:p>
    <w:p>
      <w:pPr>
        <w:pStyle w:val="0"/>
        <w:spacing w:before="200" w:line-rule="auto"/>
        <w:ind w:firstLine="540"/>
        <w:jc w:val="both"/>
      </w:pPr>
      <w:r>
        <w:rPr>
          <w:sz w:val="20"/>
        </w:rPr>
        <w:t xml:space="preserve">При этом, несмотря на стабильно функционирующие региональные программы капитального ремонта, имеются направления развития, требующие принятия системных решений, в том числе на федеральном уровне, для обеспечения дальнейшего совершенствования сферы капитального ремонта общего имущества многоквартирных домов.</w:t>
      </w:r>
    </w:p>
    <w:p>
      <w:pPr>
        <w:pStyle w:val="0"/>
        <w:spacing w:before="200" w:line-rule="auto"/>
        <w:ind w:firstLine="540"/>
        <w:jc w:val="both"/>
      </w:pPr>
      <w:r>
        <w:rPr>
          <w:sz w:val="20"/>
        </w:rPr>
        <w:t xml:space="preserve">Практика реализации региональных программ капитального ремонта субъектами Российской Федерации показала, что жесткая фиксация сроков выполнения работ в долгосрочных программах неэффективна. Плановые сроки работ были установлены на этапе формирования региональных программ, на основе нормативных межремонтных сроков и с учетом имевшихся данных о техническом состоянии многоквартирных домов и их конструктивных элементах. В связи с неполнотой системы технического учета жилищного фонда сведения о техническом состоянии многоквартирных домов не были в достаточной степени актуальными и достоверными.</w:t>
      </w:r>
    </w:p>
    <w:p>
      <w:pPr>
        <w:pStyle w:val="0"/>
        <w:spacing w:before="200" w:line-rule="auto"/>
        <w:ind w:firstLine="540"/>
        <w:jc w:val="both"/>
      </w:pPr>
      <w:r>
        <w:rPr>
          <w:sz w:val="20"/>
        </w:rPr>
        <w:t xml:space="preserve">Имеются существенные различия в подходе к формированию региональных программ и краткосрочных планов по субъектам Российской Федерации. В ряде случаев отмечается неравномерное планирование работ по капитальному ремонту, предусмотренное региональной программой как в краткосрочной, так и в долгосрочной перспективе. Некачественное планирование ведет к неэффективному расходованию средств собственников. Таким образом, требуется более гибкий механизм планирования работ по капитальному ремонту, учитывающий фактическое техническое состояние конструктивных элементов, а также унификация на федеральном уровне подходов к формированию региональных программ и краткосрочных планов.</w:t>
      </w:r>
    </w:p>
    <w:p>
      <w:pPr>
        <w:pStyle w:val="0"/>
        <w:spacing w:before="200" w:line-rule="auto"/>
        <w:ind w:firstLine="540"/>
        <w:jc w:val="both"/>
      </w:pPr>
      <w:r>
        <w:rPr>
          <w:sz w:val="20"/>
        </w:rPr>
        <w:t xml:space="preserve">Несоответствие запланированного объема работ прогнозному поступлению взносов на капитальный ремонт, обусловленное среди прочего установлением субъектами Российской Федерации минимального размера взноса на капитальный ремонт на недостаточном уровне, влечет риски неисполнения региональных программ капитального ремонта субъектами Российской Федерации в полном объеме.</w:t>
      </w:r>
    </w:p>
    <w:p>
      <w:pPr>
        <w:pStyle w:val="0"/>
        <w:spacing w:before="200" w:line-rule="auto"/>
        <w:ind w:firstLine="540"/>
        <w:jc w:val="both"/>
      </w:pPr>
      <w:r>
        <w:rPr>
          <w:sz w:val="20"/>
        </w:rPr>
        <w:t xml:space="preserve">В Российской Федерации с июля 2017 г. реализуются мероприятия в рамках реформы обращения с твердыми коммунальными отходами. По результатам отбора, проводимого в установленном Правительством Российской Федерации порядке, определяются региональные операторы по обращению с твердыми коммунальными отходами. С момента начала деятельности регионального оператора услуга по обращению с твердыми коммунальными отходами включается в состав коммунальных услуг. В настоящее время назрела необходимость совершенствования подходов к тарифному регулированию в соответствии с утвержденной </w:t>
      </w:r>
      <w:hyperlink w:history="0" r:id="rId56" w:tooltip="Ссылка на КонсультантПлюс">
        <w:r>
          <w:rPr>
            <w:sz w:val="20"/>
            <w:color w:val="0000ff"/>
          </w:rPr>
          <w:t xml:space="preserve">Концепцией</w:t>
        </w:r>
      </w:hyperlink>
      <w:r>
        <w:rPr>
          <w:sz w:val="20"/>
        </w:rPr>
        <w:t xml:space="preserve"> внедрения механизмов тарифообразования для организаций, осуществляющих регулируемые виды деятельности, на долгосрочный период, пересмотру нормативов накопления твердых коммунальных отходов, реализации мероприятий, направленных на достижение показателей национального </w:t>
      </w:r>
      <w:hyperlink w:history="0" r:id="rId57" w:tooltip="Ссылка на КонсультантПлюс">
        <w:r>
          <w:rPr>
            <w:sz w:val="20"/>
            <w:color w:val="0000ff"/>
          </w:rPr>
          <w:t xml:space="preserve">проекта</w:t>
        </w:r>
      </w:hyperlink>
      <w:r>
        <w:rPr>
          <w:sz w:val="20"/>
        </w:rPr>
        <w:t xml:space="preserve"> "Экология".</w:t>
      </w:r>
    </w:p>
    <w:p>
      <w:pPr>
        <w:pStyle w:val="0"/>
        <w:spacing w:before="200" w:line-rule="auto"/>
        <w:ind w:firstLine="540"/>
        <w:jc w:val="both"/>
      </w:pPr>
      <w:r>
        <w:rPr>
          <w:sz w:val="20"/>
        </w:rPr>
        <w:t xml:space="preserve">Качественной питьевой водой из систем централизованного водоснабжения, по данным Федеральной службы по надзору в сфере защиты прав потребителей и благополучия человека, обеспечено 86,5 процента населения Российской Федерации. При этом распределение показателя по территории Российской Федерации неоднородно, поскольку в ряде регионов и крупных муниципальных образований до настоящего времени отсутствуют централизованные системы водоснабжения.</w:t>
      </w:r>
    </w:p>
    <w:p>
      <w:pPr>
        <w:pStyle w:val="0"/>
        <w:jc w:val="both"/>
      </w:pPr>
      <w:r>
        <w:rPr>
          <w:sz w:val="20"/>
        </w:rPr>
      </w:r>
    </w:p>
    <w:p>
      <w:pPr>
        <w:pStyle w:val="2"/>
        <w:outlineLvl w:val="2"/>
        <w:jc w:val="center"/>
      </w:pPr>
      <w:r>
        <w:rPr>
          <w:sz w:val="20"/>
        </w:rPr>
        <w:t xml:space="preserve">Управление жилищным фондом</w:t>
      </w:r>
    </w:p>
    <w:p>
      <w:pPr>
        <w:pStyle w:val="0"/>
        <w:jc w:val="both"/>
      </w:pPr>
      <w:r>
        <w:rPr>
          <w:sz w:val="20"/>
        </w:rPr>
      </w:r>
    </w:p>
    <w:p>
      <w:pPr>
        <w:pStyle w:val="0"/>
        <w:ind w:firstLine="540"/>
        <w:jc w:val="both"/>
      </w:pPr>
      <w:r>
        <w:rPr>
          <w:sz w:val="20"/>
        </w:rPr>
        <w:t xml:space="preserve">Вызовами являются:</w:t>
      </w:r>
    </w:p>
    <w:p>
      <w:pPr>
        <w:pStyle w:val="0"/>
        <w:spacing w:before="200" w:line-rule="auto"/>
        <w:ind w:firstLine="540"/>
        <w:jc w:val="both"/>
      </w:pPr>
      <w:r>
        <w:rPr>
          <w:sz w:val="20"/>
        </w:rPr>
        <w:t xml:space="preserve">зарегулированность принятия и реализации решений собственниками жилья, отсутствие простых и доступных сервисов, направленных на упрощение управления многоквартирным домом;</w:t>
      </w:r>
    </w:p>
    <w:p>
      <w:pPr>
        <w:pStyle w:val="0"/>
        <w:spacing w:before="200" w:line-rule="auto"/>
        <w:ind w:firstLine="540"/>
        <w:jc w:val="both"/>
      </w:pPr>
      <w:r>
        <w:rPr>
          <w:sz w:val="20"/>
        </w:rPr>
        <w:t xml:space="preserve">недостаточная эффективность управляющих организаций, обусловленная недостатками применяемых методов ценового регулирования, отсутствием у управляющих организаций мотивации к снижению затрат, повышению энергоэффективности и внедрению новых технологий;</w:t>
      </w:r>
    </w:p>
    <w:p>
      <w:pPr>
        <w:pStyle w:val="0"/>
        <w:spacing w:before="200" w:line-rule="auto"/>
        <w:ind w:firstLine="540"/>
        <w:jc w:val="both"/>
      </w:pPr>
      <w:r>
        <w:rPr>
          <w:sz w:val="20"/>
        </w:rPr>
        <w:t xml:space="preserve">недостаточная надежность и безопасность использования газового оборудования в многоквартирных домах;</w:t>
      </w:r>
    </w:p>
    <w:p>
      <w:pPr>
        <w:pStyle w:val="0"/>
        <w:spacing w:before="200" w:line-rule="auto"/>
        <w:ind w:firstLine="540"/>
        <w:jc w:val="both"/>
      </w:pPr>
      <w:r>
        <w:rPr>
          <w:sz w:val="20"/>
        </w:rPr>
        <w:t xml:space="preserve">отсутствие регулирования отношений по управлению общим имуществом собственников жилых домов в комплексах индивидуальных жилых домов.</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повышение качества предоставляемых жилищно-коммунальных услуг по содержанию и обслуживанию общего имущества собственников жилых помещений;</w:t>
      </w:r>
    </w:p>
    <w:p>
      <w:pPr>
        <w:pStyle w:val="0"/>
        <w:spacing w:before="200" w:line-rule="auto"/>
        <w:ind w:firstLine="540"/>
        <w:jc w:val="both"/>
      </w:pPr>
      <w:r>
        <w:rPr>
          <w:sz w:val="20"/>
        </w:rPr>
        <w:t xml:space="preserve">повышение доступности и удобства процедур принятия собственниками помещений в многоквартирных домах решений по вопросам управления многоквартирным домом;</w:t>
      </w:r>
    </w:p>
    <w:p>
      <w:pPr>
        <w:pStyle w:val="0"/>
        <w:spacing w:before="200" w:line-rule="auto"/>
        <w:ind w:firstLine="540"/>
        <w:jc w:val="both"/>
      </w:pPr>
      <w:r>
        <w:rPr>
          <w:sz w:val="20"/>
        </w:rPr>
        <w:t xml:space="preserve">совершенствование законодательства Российской Федерации, направленное на повышение надежности и безопасности эксплуатации газового оборудования в многоквартирных домах;</w:t>
      </w:r>
    </w:p>
    <w:p>
      <w:pPr>
        <w:pStyle w:val="0"/>
        <w:spacing w:before="200" w:line-rule="auto"/>
        <w:ind w:firstLine="540"/>
        <w:jc w:val="both"/>
      </w:pPr>
      <w:r>
        <w:rPr>
          <w:sz w:val="20"/>
        </w:rPr>
        <w:t xml:space="preserve">совершенствование системы государственного жилищного надзора и лицензионного контроля в сфере предпринимательской деятельности по управлению многоквартирными домами в рамках общегосударственной реформы контрольно-надзорной деятельности.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внедрение единых стандартов деятельности по управлению многоквартирными домами и их обслуживанию;</w:t>
      </w:r>
    </w:p>
    <w:p>
      <w:pPr>
        <w:pStyle w:val="0"/>
        <w:spacing w:before="200" w:line-rule="auto"/>
        <w:ind w:firstLine="540"/>
        <w:jc w:val="both"/>
      </w:pPr>
      <w:r>
        <w:rPr>
          <w:sz w:val="20"/>
        </w:rPr>
        <w:t xml:space="preserve">внедрение новых подходов в сфере государственного жилищного надзора и лицензионного контроля в сфере предпринимательской деятельности по управлению многоквартирными домами;</w:t>
      </w:r>
    </w:p>
    <w:p>
      <w:pPr>
        <w:pStyle w:val="0"/>
        <w:spacing w:before="200" w:line-rule="auto"/>
        <w:ind w:firstLine="540"/>
        <w:jc w:val="both"/>
      </w:pPr>
      <w:r>
        <w:rPr>
          <w:sz w:val="20"/>
        </w:rPr>
        <w:t xml:space="preserve">развитие институтов и моделей управления жильем;</w:t>
      </w:r>
    </w:p>
    <w:p>
      <w:pPr>
        <w:pStyle w:val="0"/>
        <w:spacing w:before="200" w:line-rule="auto"/>
        <w:ind w:firstLine="540"/>
        <w:jc w:val="both"/>
      </w:pPr>
      <w:r>
        <w:rPr>
          <w:sz w:val="20"/>
        </w:rPr>
        <w:t xml:space="preserve">повышение эффективности эксплуатации и обеспечение непрерывного управления многоквартирным домом на всех этапах его жизненного цикла по единым стандартам на основе трансформации института "временной управляющей организации" и внедрения модели "гарантирующей управляющей организации", предполагающей открытые конкурсные процедуры по отбору профессиональных управляющих организаций;</w:t>
      </w:r>
    </w:p>
    <w:p>
      <w:pPr>
        <w:pStyle w:val="0"/>
        <w:spacing w:before="200" w:line-rule="auto"/>
        <w:ind w:firstLine="540"/>
        <w:jc w:val="both"/>
      </w:pPr>
      <w:r>
        <w:rPr>
          <w:sz w:val="20"/>
        </w:rPr>
        <w:t xml:space="preserve">развитие способов управления общим имуществом собственников домов в комплексах индивидуальных жилых домов по аналогии с управлением общим имуществом собственников помещений в многоквартирных домах;</w:t>
      </w:r>
    </w:p>
    <w:p>
      <w:pPr>
        <w:pStyle w:val="0"/>
        <w:spacing w:before="200" w:line-rule="auto"/>
        <w:ind w:firstLine="540"/>
        <w:jc w:val="both"/>
      </w:pPr>
      <w:r>
        <w:rPr>
          <w:sz w:val="20"/>
        </w:rPr>
        <w:t xml:space="preserve">совершенствование моделей ценообразования в сфере управления жильем и содержания общего имущества;</w:t>
      </w:r>
    </w:p>
    <w:p>
      <w:pPr>
        <w:pStyle w:val="0"/>
        <w:spacing w:before="200" w:line-rule="auto"/>
        <w:ind w:firstLine="540"/>
        <w:jc w:val="both"/>
      </w:pPr>
      <w:r>
        <w:rPr>
          <w:sz w:val="20"/>
        </w:rPr>
        <w:t xml:space="preserve">законодательное закрепление требования о том, что обслуживание единого технического комплекса внутридомового и внутриквартирного газового оборудования осуществляется по договору между управляющей организацией и специализированной организацией, оптимизация обязательного перечня работ по обслуживанию внутридомового и внутриквартирного газового оборудования, разработка и внедрение требований к специализированным организациям по обслуживанию вентиляционных каналов;</w:t>
      </w:r>
    </w:p>
    <w:p>
      <w:pPr>
        <w:pStyle w:val="0"/>
        <w:spacing w:before="200" w:line-rule="auto"/>
        <w:ind w:firstLine="540"/>
        <w:jc w:val="both"/>
      </w:pPr>
      <w:r>
        <w:rPr>
          <w:sz w:val="20"/>
        </w:rPr>
        <w:t xml:space="preserve">внедрение публичных рейтингов управляющих организаций на основе ключевых параметров их деятельности;</w:t>
      </w:r>
    </w:p>
    <w:p>
      <w:pPr>
        <w:pStyle w:val="0"/>
        <w:spacing w:before="200" w:line-rule="auto"/>
        <w:ind w:firstLine="540"/>
        <w:jc w:val="both"/>
      </w:pPr>
      <w:r>
        <w:rPr>
          <w:sz w:val="20"/>
        </w:rPr>
        <w:t xml:space="preserve">сокращение барьеров, препятствующих принятию собственниками помещений в многоквартирных домах решений по заключению энергосервисных контрактов, реализации мероприятий по повышению энергоэффективности при содержании общего имущества в многоквартирных домах;</w:t>
      </w:r>
    </w:p>
    <w:p>
      <w:pPr>
        <w:pStyle w:val="0"/>
        <w:spacing w:before="200" w:line-rule="auto"/>
        <w:ind w:firstLine="540"/>
        <w:jc w:val="both"/>
      </w:pPr>
      <w:r>
        <w:rPr>
          <w:sz w:val="20"/>
        </w:rPr>
        <w:t xml:space="preserve">разработка механизмов возврата инвестиций в случае реализации мероприятий, направленных на повышение энергоэффективности в отношении общего имущества в многоквартирных домах.</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все многоквартирные дома (100 процентов) обслуживаются на основе единых стандартов;</w:t>
      </w:r>
    </w:p>
    <w:p>
      <w:pPr>
        <w:pStyle w:val="0"/>
        <w:spacing w:before="200" w:line-rule="auto"/>
        <w:ind w:firstLine="540"/>
        <w:jc w:val="both"/>
      </w:pPr>
      <w:r>
        <w:rPr>
          <w:sz w:val="20"/>
        </w:rPr>
        <w:t xml:space="preserve">обеспечено непрерывное управление многоквартирными домами (нет многоквартирных домов с невыбранным или нереализованным способом управления);</w:t>
      </w:r>
    </w:p>
    <w:p>
      <w:pPr>
        <w:pStyle w:val="0"/>
        <w:spacing w:before="200" w:line-rule="auto"/>
        <w:ind w:firstLine="540"/>
        <w:jc w:val="both"/>
      </w:pPr>
      <w:r>
        <w:rPr>
          <w:sz w:val="20"/>
        </w:rPr>
        <w:t xml:space="preserve">повышен уровень доступности и удобства участия граждан в управлении жильем.</w:t>
      </w:r>
    </w:p>
    <w:p>
      <w:pPr>
        <w:pStyle w:val="0"/>
        <w:jc w:val="both"/>
      </w:pPr>
      <w:r>
        <w:rPr>
          <w:sz w:val="20"/>
        </w:rPr>
      </w:r>
    </w:p>
    <w:p>
      <w:pPr>
        <w:pStyle w:val="2"/>
        <w:outlineLvl w:val="2"/>
        <w:jc w:val="center"/>
      </w:pPr>
      <w:r>
        <w:rPr>
          <w:sz w:val="20"/>
        </w:rPr>
        <w:t xml:space="preserve">Капитальный ремонт жилищного фонда</w:t>
      </w:r>
    </w:p>
    <w:p>
      <w:pPr>
        <w:pStyle w:val="0"/>
        <w:jc w:val="both"/>
      </w:pPr>
      <w:r>
        <w:rPr>
          <w:sz w:val="20"/>
        </w:rPr>
      </w:r>
    </w:p>
    <w:p>
      <w:pPr>
        <w:pStyle w:val="0"/>
        <w:ind w:firstLine="540"/>
        <w:jc w:val="both"/>
      </w:pPr>
      <w:r>
        <w:rPr>
          <w:sz w:val="20"/>
        </w:rPr>
        <w:t xml:space="preserve">Вызовами являются:</w:t>
      </w:r>
    </w:p>
    <w:p>
      <w:pPr>
        <w:pStyle w:val="0"/>
        <w:spacing w:before="200" w:line-rule="auto"/>
        <w:ind w:firstLine="540"/>
        <w:jc w:val="both"/>
      </w:pPr>
      <w:r>
        <w:rPr>
          <w:sz w:val="20"/>
        </w:rPr>
        <w:t xml:space="preserve">неэффективное использование аккумулируемых гражданами взносов на капитальный ремонт ввиду недостаточного качества планирования, организации и исполнения работ по капитальному ремонту;</w:t>
      </w:r>
    </w:p>
    <w:p>
      <w:pPr>
        <w:pStyle w:val="0"/>
        <w:spacing w:before="200" w:line-rule="auto"/>
        <w:ind w:firstLine="540"/>
        <w:jc w:val="both"/>
      </w:pPr>
      <w:r>
        <w:rPr>
          <w:sz w:val="20"/>
        </w:rPr>
        <w:t xml:space="preserve">отсутствие системы технического учета жилищного фонда;</w:t>
      </w:r>
    </w:p>
    <w:p>
      <w:pPr>
        <w:pStyle w:val="0"/>
        <w:spacing w:before="200" w:line-rule="auto"/>
        <w:ind w:firstLine="540"/>
        <w:jc w:val="both"/>
      </w:pPr>
      <w:r>
        <w:rPr>
          <w:sz w:val="20"/>
        </w:rPr>
        <w:t xml:space="preserve">недостаточное финансовое обеспечение региональных программ капитального ремонта субъектов Российской Федерации;</w:t>
      </w:r>
    </w:p>
    <w:p>
      <w:pPr>
        <w:pStyle w:val="0"/>
        <w:spacing w:before="200" w:line-rule="auto"/>
        <w:ind w:firstLine="540"/>
        <w:jc w:val="both"/>
      </w:pPr>
      <w:r>
        <w:rPr>
          <w:sz w:val="20"/>
        </w:rPr>
        <w:t xml:space="preserve">недостаточный объем работ по капитальному ремонту многоквартирных домов - объектов культурного наследия (памятников истории и культуры) народов Российской Федерации (далее - объекты культурного наследия), работ по замене лифтов в многоквартирных домах.</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эффективного механизма технического учета жилищного фонда, в том числе позволяющего формировать достоверную информацию о составе жилищного фонда, его состоянии, уровне благоустройства и изменении этих показателей;</w:t>
      </w:r>
    </w:p>
    <w:p>
      <w:pPr>
        <w:pStyle w:val="0"/>
        <w:spacing w:before="200" w:line-rule="auto"/>
        <w:ind w:firstLine="540"/>
        <w:jc w:val="both"/>
      </w:pPr>
      <w:r>
        <w:rPr>
          <w:sz w:val="20"/>
        </w:rPr>
        <w:t xml:space="preserve">формирование региональных программ капитального ремонта и краткосрочных планов капитального ремонта общего имущества в многоквартирных домах исходя из их фактического технического состояния (по необходимости);</w:t>
      </w:r>
    </w:p>
    <w:p>
      <w:pPr>
        <w:pStyle w:val="0"/>
        <w:spacing w:before="200" w:line-rule="auto"/>
        <w:ind w:firstLine="540"/>
        <w:jc w:val="both"/>
      </w:pPr>
      <w:r>
        <w:rPr>
          <w:sz w:val="20"/>
        </w:rPr>
        <w:t xml:space="preserve">определение механизмов, позволяющих проводить капитальный ремонт объектов культурного наследия и работы по замене лифтового оборудования в многоквартирных домах;</w:t>
      </w:r>
    </w:p>
    <w:p>
      <w:pPr>
        <w:pStyle w:val="0"/>
        <w:spacing w:before="200" w:line-rule="auto"/>
        <w:ind w:firstLine="540"/>
        <w:jc w:val="both"/>
      </w:pPr>
      <w:r>
        <w:rPr>
          <w:sz w:val="20"/>
        </w:rPr>
        <w:t xml:space="preserve">установление единых требований к формированию и реализации региональных программ капитального ремонта, в том числе обеспечивающих возможность их синхронизации с мероприятиями по модернизации коммунальной инфраструктуры;</w:t>
      </w:r>
    </w:p>
    <w:p>
      <w:pPr>
        <w:pStyle w:val="0"/>
        <w:spacing w:before="200" w:line-rule="auto"/>
        <w:ind w:firstLine="540"/>
        <w:jc w:val="both"/>
      </w:pPr>
      <w:r>
        <w:rPr>
          <w:sz w:val="20"/>
        </w:rPr>
        <w:t xml:space="preserve">повышение эффективности использования средств фондов капитального ремонта и обеспечение финансовой устойчивости региональных программ капитального ремонта, в том числе за счет формирования дополнительных источников их финансирования.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законодательства Российской Федерации в области учета технического состояния многоквартирных домов, организация системы сбора и обобщения информации о технических характеристиках и состоянии жилищного фонда, содержащейся в Едином государственном реестре недвижимости и в электронном паспорте многоквартирного дома, формируемом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модернизация информационных систем для учета актуального технического состояния многоквартирного дома, а также для оценки удовлетворенности граждан проведенными работами по капитальному ремонту;</w:t>
      </w:r>
    </w:p>
    <w:p>
      <w:pPr>
        <w:pStyle w:val="0"/>
        <w:spacing w:before="200" w:line-rule="auto"/>
        <w:ind w:firstLine="540"/>
        <w:jc w:val="both"/>
      </w:pPr>
      <w:r>
        <w:rPr>
          <w:sz w:val="20"/>
        </w:rPr>
        <w:t xml:space="preserve">создание механизма корректировки региональных программ капитального ремонта с учетом действительного технического состояния многоквартирных домов;</w:t>
      </w:r>
    </w:p>
    <w:p>
      <w:pPr>
        <w:pStyle w:val="0"/>
        <w:spacing w:before="200" w:line-rule="auto"/>
        <w:ind w:firstLine="540"/>
        <w:jc w:val="both"/>
      </w:pPr>
      <w:r>
        <w:rPr>
          <w:sz w:val="20"/>
        </w:rPr>
        <w:t xml:space="preserve">установление на федеральном уровне единых требований к формированию и реализации региональных программ капитального ремонта, разработка и внедрение единой технической и ценовой политики для региональных операторов, уточнение квалификационных требований к отбору подрядных организаций, привлекаемых для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уточнение правил проведения капитального ремонта общего имущества в многоквартирных домах в части порядка выбора видов работ исходя из технического состояния дома, определенного на основании результатов его технического обследования;</w:t>
      </w:r>
    </w:p>
    <w:p>
      <w:pPr>
        <w:pStyle w:val="0"/>
        <w:spacing w:before="200" w:line-rule="auto"/>
        <w:ind w:firstLine="540"/>
        <w:jc w:val="both"/>
      </w:pPr>
      <w:r>
        <w:rPr>
          <w:sz w:val="20"/>
        </w:rPr>
        <w:t xml:space="preserve">совершенствование механизма использования средств на специальных счетах, предназначенных для перечисления средств на проведение капитального ремонта общего имущества в многоквартирном доме;</w:t>
      </w:r>
    </w:p>
    <w:p>
      <w:pPr>
        <w:pStyle w:val="0"/>
        <w:spacing w:before="200" w:line-rule="auto"/>
        <w:ind w:firstLine="540"/>
        <w:jc w:val="both"/>
      </w:pPr>
      <w:r>
        <w:rPr>
          <w:sz w:val="20"/>
        </w:rPr>
        <w:t xml:space="preserve">создание механизма увеличения объема средств, направляемых ежегодно на проведение капитального ремонта;</w:t>
      </w:r>
    </w:p>
    <w:p>
      <w:pPr>
        <w:pStyle w:val="0"/>
        <w:spacing w:before="200" w:line-rule="auto"/>
        <w:ind w:firstLine="540"/>
        <w:jc w:val="both"/>
      </w:pPr>
      <w:r>
        <w:rPr>
          <w:sz w:val="20"/>
        </w:rPr>
        <w:t xml:space="preserve">установление особого порядка финансирования капитального ремонта многоквартирных домов, являющихся объектами культурного наследия, с привлечением средств федерального, регионального и местного бюджетов в зависимости от категории объекта культурного наследия;</w:t>
      </w:r>
    </w:p>
    <w:p>
      <w:pPr>
        <w:pStyle w:val="0"/>
        <w:spacing w:before="200" w:line-rule="auto"/>
        <w:ind w:firstLine="540"/>
        <w:jc w:val="both"/>
      </w:pPr>
      <w:r>
        <w:rPr>
          <w:sz w:val="20"/>
        </w:rPr>
        <w:t xml:space="preserve">синхронизация мероприятий региональных программ капитального ремонта с планами модернизации коммунальной инфраструктуры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создана система технического учета жилищного фонда;</w:t>
      </w:r>
    </w:p>
    <w:p>
      <w:pPr>
        <w:pStyle w:val="0"/>
        <w:spacing w:before="200" w:line-rule="auto"/>
        <w:ind w:firstLine="540"/>
        <w:jc w:val="both"/>
      </w:pPr>
      <w:r>
        <w:rPr>
          <w:sz w:val="20"/>
        </w:rPr>
        <w:t xml:space="preserve">на постоянной основе осуществляется актуализация данных о техническом состоянии многоквартирных домов для их использования в целях планирования своевременного капитального ремонта;</w:t>
      </w:r>
    </w:p>
    <w:p>
      <w:pPr>
        <w:pStyle w:val="0"/>
        <w:spacing w:before="200" w:line-rule="auto"/>
        <w:ind w:firstLine="540"/>
        <w:jc w:val="both"/>
      </w:pPr>
      <w:r>
        <w:rPr>
          <w:sz w:val="20"/>
        </w:rPr>
        <w:t xml:space="preserve">работы по капитальному ремонту осуществляются с учетом результатов технического обследования многоквартирных домов;</w:t>
      </w:r>
    </w:p>
    <w:p>
      <w:pPr>
        <w:pStyle w:val="0"/>
        <w:spacing w:before="200" w:line-rule="auto"/>
        <w:ind w:firstLine="540"/>
        <w:jc w:val="both"/>
      </w:pPr>
      <w:r>
        <w:rPr>
          <w:sz w:val="20"/>
        </w:rPr>
        <w:t xml:space="preserve">на федеральном уровне установлены единые требования к формированию и реализации региональных программ капитального ремонта;</w:t>
      </w:r>
    </w:p>
    <w:p>
      <w:pPr>
        <w:pStyle w:val="0"/>
        <w:spacing w:before="200" w:line-rule="auto"/>
        <w:ind w:firstLine="540"/>
        <w:jc w:val="both"/>
      </w:pPr>
      <w:r>
        <w:rPr>
          <w:sz w:val="20"/>
        </w:rPr>
        <w:t xml:space="preserve">утверждена единая техническая и ценовая политика для региональных операторов;</w:t>
      </w:r>
    </w:p>
    <w:p>
      <w:pPr>
        <w:pStyle w:val="0"/>
        <w:spacing w:before="200" w:line-rule="auto"/>
        <w:ind w:firstLine="540"/>
        <w:jc w:val="both"/>
      </w:pPr>
      <w:r>
        <w:rPr>
          <w:sz w:val="20"/>
        </w:rPr>
        <w:t xml:space="preserve">усовершенствован механизм использования средств на специальных счетах, предназначенных для перечисления средств на проведение капитального ремонта общего имущества в многоквартирном доме;</w:t>
      </w:r>
    </w:p>
    <w:p>
      <w:pPr>
        <w:pStyle w:val="0"/>
        <w:spacing w:before="200" w:line-rule="auto"/>
        <w:ind w:firstLine="540"/>
        <w:jc w:val="both"/>
      </w:pPr>
      <w:r>
        <w:rPr>
          <w:sz w:val="20"/>
        </w:rPr>
        <w:t xml:space="preserve">запущен сервис мониторинга удовлетворенности граждан проведенным капитальным ремонтом в многоквартирных домах;</w:t>
      </w:r>
    </w:p>
    <w:p>
      <w:pPr>
        <w:pStyle w:val="0"/>
        <w:spacing w:before="200" w:line-rule="auto"/>
        <w:ind w:firstLine="540"/>
        <w:jc w:val="both"/>
      </w:pPr>
      <w:r>
        <w:rPr>
          <w:sz w:val="20"/>
        </w:rPr>
        <w:t xml:space="preserve">лифты в многоквартирных домах соответствуют требованиям технического </w:t>
      </w:r>
      <w:hyperlink w:history="0" r:id="rId58"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 Таможенного союза "Безопасность лифтов".</w:t>
      </w:r>
    </w:p>
    <w:p>
      <w:pPr>
        <w:pStyle w:val="0"/>
        <w:jc w:val="both"/>
      </w:pPr>
      <w:r>
        <w:rPr>
          <w:sz w:val="20"/>
        </w:rPr>
      </w:r>
    </w:p>
    <w:p>
      <w:pPr>
        <w:pStyle w:val="2"/>
        <w:outlineLvl w:val="2"/>
        <w:jc w:val="center"/>
      </w:pPr>
      <w:r>
        <w:rPr>
          <w:sz w:val="20"/>
        </w:rPr>
        <w:t xml:space="preserve">Коммунальная инфраструктура</w:t>
      </w:r>
    </w:p>
    <w:p>
      <w:pPr>
        <w:pStyle w:val="0"/>
        <w:jc w:val="both"/>
      </w:pPr>
      <w:r>
        <w:rPr>
          <w:sz w:val="20"/>
        </w:rPr>
      </w:r>
    </w:p>
    <w:p>
      <w:pPr>
        <w:pStyle w:val="2"/>
        <w:outlineLvl w:val="3"/>
        <w:jc w:val="center"/>
      </w:pPr>
      <w:r>
        <w:rPr>
          <w:sz w:val="20"/>
        </w:rPr>
        <w:t xml:space="preserve">Теплоснабжение</w:t>
      </w:r>
    </w:p>
    <w:p>
      <w:pPr>
        <w:pStyle w:val="0"/>
        <w:jc w:val="both"/>
      </w:pPr>
      <w:r>
        <w:rPr>
          <w:sz w:val="20"/>
        </w:rPr>
      </w:r>
    </w:p>
    <w:p>
      <w:pPr>
        <w:pStyle w:val="0"/>
        <w:ind w:firstLine="540"/>
        <w:jc w:val="both"/>
      </w:pPr>
      <w:r>
        <w:rPr>
          <w:sz w:val="20"/>
        </w:rPr>
        <w:t xml:space="preserve">Текущее состояние систем централизованного теплоснабжения характеризуется недостаточными показателями надежности, энергоэффективности и экологичности, в связи с чем необходимо обеспечить масштабную модернизацию действующих мощностей, в том числе посредством технического перевооружения и перевода отопительных котельных на экологичные и энергоэффективные виды топлива. Важно также полностью и своевременно обеспечивать требуемую тепловую нагрузку перспективных объектов капитального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рост изношенности и аварийности объектов теплосетевого комплекса. При существующем удельном весе сетей теплоснабжения, нуждающихся в замене, составляющем около 30 процентов, фактически ежегодно обновляется только 1,5 - 2,2 процента;</w:t>
      </w:r>
    </w:p>
    <w:p>
      <w:pPr>
        <w:pStyle w:val="0"/>
        <w:spacing w:before="200" w:line-rule="auto"/>
        <w:ind w:firstLine="540"/>
        <w:jc w:val="both"/>
      </w:pPr>
      <w:r>
        <w:rPr>
          <w:sz w:val="20"/>
        </w:rPr>
        <w:t xml:space="preserve">высокий уровень потерь тепловой энергии при выработке и передаче конечному потребителю;</w:t>
      </w:r>
    </w:p>
    <w:p>
      <w:pPr>
        <w:pStyle w:val="0"/>
        <w:spacing w:before="200" w:line-rule="auto"/>
        <w:ind w:firstLine="540"/>
        <w:jc w:val="both"/>
      </w:pPr>
      <w:r>
        <w:rPr>
          <w:sz w:val="20"/>
        </w:rPr>
        <w:t xml:space="preserve">эксплуатация неэффективных отопительных котельных, использующих твердые и жидкие виды топлива. В значительной степени убыточность таких отопительных котельных связана с ростом стоимости используемого топлива. В структуре себестоимости предприятий тепловой генерации расходы на закупку топлива варьируются в диапазоне 50 - 65 процентов в зависимости от источника теплоснабжения;</w:t>
      </w:r>
    </w:p>
    <w:p>
      <w:pPr>
        <w:pStyle w:val="0"/>
        <w:spacing w:before="200" w:line-rule="auto"/>
        <w:ind w:firstLine="540"/>
        <w:jc w:val="both"/>
      </w:pPr>
      <w:r>
        <w:rPr>
          <w:sz w:val="20"/>
        </w:rPr>
        <w:t xml:space="preserve">дефицит источников финансирования (тарифных, нетарифных, внебюджетных) для обеспечения необходимых темпов модернизации систем централизованного теплоснабжения.</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доведение темпов замены сетей теплоснабжения до уровня не менее 5 процентов в год;</w:t>
      </w:r>
    </w:p>
    <w:p>
      <w:pPr>
        <w:pStyle w:val="0"/>
        <w:spacing w:before="200" w:line-rule="auto"/>
        <w:ind w:firstLine="540"/>
        <w:jc w:val="both"/>
      </w:pPr>
      <w:r>
        <w:rPr>
          <w:sz w:val="20"/>
        </w:rPr>
        <w:t xml:space="preserve">повышение эффективности тарифных источников финансирования капитальных затрат и бюджетных инвестиций, повышение инвестиционной привлекательности отрасли для частных компаний;</w:t>
      </w:r>
    </w:p>
    <w:p>
      <w:pPr>
        <w:pStyle w:val="0"/>
        <w:spacing w:before="200" w:line-rule="auto"/>
        <w:ind w:firstLine="540"/>
        <w:jc w:val="both"/>
      </w:pPr>
      <w:r>
        <w:rPr>
          <w:sz w:val="20"/>
        </w:rPr>
        <w:t xml:space="preserve">снижение потерь, повышение энергетической эффективности сферы теплоснабжения и снижение аварийности на сетях теплоснабжения и объектах капитального строительства сферы теплоснабжения.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проведение оценки состояния систем теплоснабжения на постоянной основе;</w:t>
      </w:r>
    </w:p>
    <w:p>
      <w:pPr>
        <w:pStyle w:val="0"/>
        <w:spacing w:before="200" w:line-rule="auto"/>
        <w:ind w:firstLine="540"/>
        <w:jc w:val="both"/>
      </w:pPr>
      <w:r>
        <w:rPr>
          <w:sz w:val="20"/>
        </w:rPr>
        <w:t xml:space="preserve">введение требования об обязательном наличии инвестиционной программы ресурсоснабжающей организации, в случае если схемой теплоснабжения предусмотрены мероприятия по развитию ресурсоснабжающей организации;</w:t>
      </w:r>
    </w:p>
    <w:p>
      <w:pPr>
        <w:pStyle w:val="0"/>
        <w:spacing w:before="200" w:line-rule="auto"/>
        <w:ind w:firstLine="540"/>
        <w:jc w:val="both"/>
      </w:pPr>
      <w:r>
        <w:rPr>
          <w:sz w:val="20"/>
        </w:rPr>
        <w:t xml:space="preserve">разработка методики расчета экономического эффекта при проведении инвестиционных мероприятий и внесение соответствующих корректировок в </w:t>
      </w:r>
      <w:hyperlink w:history="0" r:id="rId59" w:tooltip="Постановление Правительства РФ от 22.10.2012 N 1075 (ред. от 27.05.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0"/>
            <w:color w:val="0000ff"/>
          </w:rPr>
          <w:t xml:space="preserve">Основы</w:t>
        </w:r>
      </w:hyperlink>
      <w:r>
        <w:rPr>
          <w:sz w:val="20"/>
        </w:rPr>
        <w:t xml:space="preserve"> ценообразования в сфере теплоснабжения, утвержденные постановлением Правительства Российской Федерации от 22 октября 2012 г. N 1075 "О ценообразовании в сфере теплоснабжения";</w:t>
      </w:r>
    </w:p>
    <w:p>
      <w:pPr>
        <w:pStyle w:val="0"/>
        <w:spacing w:before="200" w:line-rule="auto"/>
        <w:ind w:firstLine="540"/>
        <w:jc w:val="both"/>
      </w:pPr>
      <w:r>
        <w:rPr>
          <w:sz w:val="20"/>
        </w:rPr>
        <w:t xml:space="preserve">утверждение правил и методик контроля учета амортизационных отчислений в отношении объектов жилищно-коммунального хозяйства как источников финансирования мероприятий инвестиционных программ организаций, осуществляющих регулируемые виды деятельности в сфере теплоснабжения, осуществляемого органами регулирования тарифов и органами власти, уполномоченными на утверждение таких инвестиционных программ. Приоритетом использования амортизационных отчислений (с учетом недосбора платежей за коммунальные услуги) должно быть полное и своевременное восстановление или новое строительство объектов жилищно-коммунального хозяйства, за исключением случаев, когда за счет таких отчислений осуществляется возврат вложенного инвестором собственного капитала, заемного капитала и расходов на его обслуживание (кроме финансирования мероприятий в полном объеме за счет бюджетных инвестиций);</w:t>
      </w:r>
    </w:p>
    <w:p>
      <w:pPr>
        <w:pStyle w:val="0"/>
        <w:spacing w:before="200" w:line-rule="auto"/>
        <w:ind w:firstLine="540"/>
        <w:jc w:val="both"/>
      </w:pPr>
      <w:r>
        <w:rPr>
          <w:sz w:val="20"/>
        </w:rPr>
        <w:t xml:space="preserve">обновление объектов теплоснабжения посредством реализации программы модернизации коммунальной инфраструктуры на период 2023 - 2027 годов с прогнозом до 2030 года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повышение качества схем теплоснабжения, разрабатываемых организациями, осуществляющими деятельность в сфере теплоснабжения;</w:t>
      </w:r>
    </w:p>
    <w:p>
      <w:pPr>
        <w:pStyle w:val="0"/>
        <w:spacing w:before="200" w:line-rule="auto"/>
        <w:ind w:firstLine="540"/>
        <w:jc w:val="both"/>
      </w:pPr>
      <w:r>
        <w:rPr>
          <w:sz w:val="20"/>
        </w:rPr>
        <w:t xml:space="preserve">стимулирующие меры, направленные на повышение эффективности управления предприятиями сферы теплоснабжения;</w:t>
      </w:r>
    </w:p>
    <w:p>
      <w:pPr>
        <w:pStyle w:val="0"/>
        <w:spacing w:before="200" w:line-rule="auto"/>
        <w:ind w:firstLine="540"/>
        <w:jc w:val="both"/>
      </w:pPr>
      <w:r>
        <w:rPr>
          <w:sz w:val="20"/>
        </w:rPr>
        <w:t xml:space="preserve">разработка подходов к долгосрочному планированию расходования средств застройщика в виде платы за подключение (технологическое присоединение) объектов капитального строительства к сетям инженерно-технического обеспечения как источника финансирования мероприятий по развитию системы теплоснабжения;</w:t>
      </w:r>
    </w:p>
    <w:p>
      <w:pPr>
        <w:pStyle w:val="0"/>
        <w:spacing w:before="200" w:line-rule="auto"/>
        <w:ind w:firstLine="540"/>
        <w:jc w:val="both"/>
      </w:pPr>
      <w:r>
        <w:rPr>
          <w:sz w:val="20"/>
        </w:rPr>
        <w:t xml:space="preserve">разработка мер стимулирования привлечения внебюджетных источников финансирования для реализации мероприятий по модернизации и развитию инфраструктуры в сфере теплоснабжения;</w:t>
      </w:r>
    </w:p>
    <w:p>
      <w:pPr>
        <w:pStyle w:val="0"/>
        <w:spacing w:before="200" w:line-rule="auto"/>
        <w:ind w:firstLine="540"/>
        <w:jc w:val="both"/>
      </w:pPr>
      <w:r>
        <w:rPr>
          <w:sz w:val="20"/>
        </w:rPr>
        <w:t xml:space="preserve">популяризация и приоритетное внедрение новой системы отношений по методу "альтернативной котельной" в городах с высоким уровнем износа объектов теплоснабжения.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ежегодное снижение уровня потерь тепловой энергии и аварийности на тепловых сетях, в том числе за счет увеличенного темпа обновления объектов теплосетевой инфраструктуры;</w:t>
      </w:r>
    </w:p>
    <w:p>
      <w:pPr>
        <w:pStyle w:val="0"/>
        <w:spacing w:before="200" w:line-rule="auto"/>
        <w:ind w:firstLine="540"/>
        <w:jc w:val="both"/>
      </w:pPr>
      <w:r>
        <w:rPr>
          <w:sz w:val="20"/>
        </w:rPr>
        <w:t xml:space="preserve">улучшение показателей надежности и энергоэффективности систем теплоснабжения, в том числе снижение удельного расхода топлива, увеличение доли использования в виде топлива природного и сжиженного газа;</w:t>
      </w:r>
    </w:p>
    <w:p>
      <w:pPr>
        <w:pStyle w:val="0"/>
        <w:spacing w:before="200" w:line-rule="auto"/>
        <w:ind w:firstLine="540"/>
        <w:jc w:val="both"/>
      </w:pPr>
      <w:r>
        <w:rPr>
          <w:sz w:val="20"/>
        </w:rPr>
        <w:t xml:space="preserve">развитие магистральных и распределительных сетей теплоснабжения, в том числе для надежного и качественного обеспечения потребностей нового жилищного строительства;</w:t>
      </w:r>
    </w:p>
    <w:p>
      <w:pPr>
        <w:pStyle w:val="0"/>
        <w:spacing w:before="200" w:line-rule="auto"/>
        <w:ind w:firstLine="540"/>
        <w:jc w:val="both"/>
      </w:pPr>
      <w:r>
        <w:rPr>
          <w:sz w:val="20"/>
        </w:rPr>
        <w:t xml:space="preserve">повышение эффективности муниципальных унитарных предприятий, эксплуатирующих отопительные котельные;</w:t>
      </w:r>
    </w:p>
    <w:p>
      <w:pPr>
        <w:pStyle w:val="0"/>
        <w:spacing w:before="200" w:line-rule="auto"/>
        <w:ind w:firstLine="540"/>
        <w:jc w:val="both"/>
      </w:pPr>
      <w:r>
        <w:rPr>
          <w:sz w:val="20"/>
        </w:rPr>
        <w:t xml:space="preserve">доля привлеченных средств, в том числе средств частных инвесторов, а также средств, привлекаемых субъектами Российской Федерации на возвратной основе, в общем объеме капитальных вложений в системы теплоснабжения за весь период реализации Стратегии составит не менее 30 процентов.</w:t>
      </w:r>
    </w:p>
    <w:p>
      <w:pPr>
        <w:pStyle w:val="0"/>
        <w:jc w:val="both"/>
      </w:pPr>
      <w:r>
        <w:rPr>
          <w:sz w:val="20"/>
        </w:rPr>
      </w:r>
    </w:p>
    <w:p>
      <w:pPr>
        <w:pStyle w:val="2"/>
        <w:outlineLvl w:val="3"/>
        <w:jc w:val="center"/>
      </w:pPr>
      <w:r>
        <w:rPr>
          <w:sz w:val="20"/>
        </w:rPr>
        <w:t xml:space="preserve">Водоснабжение</w:t>
      </w:r>
    </w:p>
    <w:p>
      <w:pPr>
        <w:pStyle w:val="0"/>
        <w:jc w:val="both"/>
      </w:pPr>
      <w:r>
        <w:rPr>
          <w:sz w:val="20"/>
        </w:rPr>
      </w:r>
    </w:p>
    <w:p>
      <w:pPr>
        <w:pStyle w:val="0"/>
        <w:ind w:firstLine="540"/>
        <w:jc w:val="both"/>
      </w:pPr>
      <w:r>
        <w:rPr>
          <w:sz w:val="20"/>
        </w:rPr>
        <w:t xml:space="preserve">Задачами в сфере водоснабжения являются надежное обеспечение потребителей качественной питьевой водой, а также снижение неконтролируемого аварийного износа сетей водоснабжения, приводящего к большим потерям.</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высокий уровень накопленного износа основных фондов и сетевого хозяйства в сфере водоснабжения, не позволяющий предоставить потребителям питьевую воду, удовлетворяющую нормативным требованиям;</w:t>
      </w:r>
    </w:p>
    <w:p>
      <w:pPr>
        <w:pStyle w:val="0"/>
        <w:spacing w:before="200" w:line-rule="auto"/>
        <w:ind w:firstLine="540"/>
        <w:jc w:val="both"/>
      </w:pPr>
      <w:r>
        <w:rPr>
          <w:sz w:val="20"/>
        </w:rPr>
        <w:t xml:space="preserve">высокий уровень потерь на сетях водоснабжения, в том числе в связи с наличием незаконных подключений;</w:t>
      </w:r>
    </w:p>
    <w:p>
      <w:pPr>
        <w:pStyle w:val="0"/>
        <w:spacing w:before="200" w:line-rule="auto"/>
        <w:ind w:firstLine="540"/>
        <w:jc w:val="both"/>
      </w:pPr>
      <w:r>
        <w:rPr>
          <w:sz w:val="20"/>
        </w:rPr>
        <w:t xml:space="preserve">низкий уровень обеспеченности сельского населения качественной питьевой водой;</w:t>
      </w:r>
    </w:p>
    <w:p>
      <w:pPr>
        <w:pStyle w:val="0"/>
        <w:spacing w:before="200" w:line-rule="auto"/>
        <w:ind w:firstLine="540"/>
        <w:jc w:val="both"/>
      </w:pPr>
      <w:r>
        <w:rPr>
          <w:sz w:val="20"/>
        </w:rPr>
        <w:t xml:space="preserve">низкая инвестиционная привлекательность отрасли, обусловленная дефицитом тарифных источников финансирования капитальных вложений.</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обеспечение потребителей качественной питьевой водой;</w:t>
      </w:r>
    </w:p>
    <w:p>
      <w:pPr>
        <w:pStyle w:val="0"/>
        <w:spacing w:before="200" w:line-rule="auto"/>
        <w:ind w:firstLine="540"/>
        <w:jc w:val="both"/>
      </w:pPr>
      <w:r>
        <w:rPr>
          <w:sz w:val="20"/>
        </w:rPr>
        <w:t xml:space="preserve">доведение доли сельского населения, обеспеченного качественной питьевой водой, до уровня доли городского населения, обеспеченного качественной питьевой водой;</w:t>
      </w:r>
    </w:p>
    <w:p>
      <w:pPr>
        <w:pStyle w:val="0"/>
        <w:spacing w:before="200" w:line-rule="auto"/>
        <w:ind w:firstLine="540"/>
        <w:jc w:val="both"/>
      </w:pPr>
      <w:r>
        <w:rPr>
          <w:sz w:val="20"/>
        </w:rPr>
        <w:t xml:space="preserve">повышение темпов замены сетей водоснабжения до уровня не менее 5 процентов в год;</w:t>
      </w:r>
    </w:p>
    <w:p>
      <w:pPr>
        <w:pStyle w:val="0"/>
        <w:spacing w:before="200" w:line-rule="auto"/>
        <w:ind w:firstLine="540"/>
        <w:jc w:val="both"/>
      </w:pPr>
      <w:r>
        <w:rPr>
          <w:sz w:val="20"/>
        </w:rPr>
        <w:t xml:space="preserve">сокращение нормативных и коммерческих потерь на сетях водоснабжения, снижение уровня аварийности на сетях и объектах водоснабжения;</w:t>
      </w:r>
    </w:p>
    <w:p>
      <w:pPr>
        <w:pStyle w:val="0"/>
        <w:spacing w:before="200" w:line-rule="auto"/>
        <w:ind w:firstLine="540"/>
        <w:jc w:val="both"/>
      </w:pPr>
      <w:r>
        <w:rPr>
          <w:sz w:val="20"/>
        </w:rPr>
        <w:t xml:space="preserve">повышение качества разработки схем водоснабжения в части их соответствия требованиям действующего законодательства Российской Федерации;</w:t>
      </w:r>
    </w:p>
    <w:p>
      <w:pPr>
        <w:pStyle w:val="0"/>
        <w:spacing w:before="200" w:line-rule="auto"/>
        <w:ind w:firstLine="540"/>
        <w:jc w:val="both"/>
      </w:pPr>
      <w:r>
        <w:rPr>
          <w:sz w:val="20"/>
        </w:rPr>
        <w:t xml:space="preserve">разработка мер стимулирования привлечения внебюджетных источников финансирования для реализации мероприятий по модернизации и развитию инфраструктуры в сфере водоснабжения.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проведение оценки состояния централизованных систем водоснабжения на постоянной основе;</w:t>
      </w:r>
    </w:p>
    <w:p>
      <w:pPr>
        <w:pStyle w:val="0"/>
        <w:spacing w:before="200" w:line-rule="auto"/>
        <w:ind w:firstLine="540"/>
        <w:jc w:val="both"/>
      </w:pPr>
      <w:r>
        <w:rPr>
          <w:sz w:val="20"/>
        </w:rPr>
        <w:t xml:space="preserve">введение требования о ежегодной актуализации схем водоснабжения и водоотведения, передача полномочий по их утверждению на уровень субъекта Российской Федерации;</w:t>
      </w:r>
    </w:p>
    <w:p>
      <w:pPr>
        <w:pStyle w:val="0"/>
        <w:spacing w:before="200" w:line-rule="auto"/>
        <w:ind w:firstLine="540"/>
        <w:jc w:val="both"/>
      </w:pPr>
      <w:r>
        <w:rPr>
          <w:sz w:val="20"/>
        </w:rPr>
        <w:t xml:space="preserve">разработка и реализация комплексного плана по повышению обеспеченности сельского населения качественной питьевой водой;</w:t>
      </w:r>
    </w:p>
    <w:p>
      <w:pPr>
        <w:pStyle w:val="0"/>
        <w:spacing w:before="200" w:line-rule="auto"/>
        <w:ind w:firstLine="540"/>
        <w:jc w:val="both"/>
      </w:pPr>
      <w:r>
        <w:rPr>
          <w:sz w:val="20"/>
        </w:rPr>
        <w:t xml:space="preserve">отказ от разработки и утверждения производственных программ ресурсоснабжающей организации в пользу обязательного наличия инвестиционной программы ресурсоснабжающей организации;</w:t>
      </w:r>
    </w:p>
    <w:p>
      <w:pPr>
        <w:pStyle w:val="0"/>
        <w:spacing w:before="200" w:line-rule="auto"/>
        <w:ind w:firstLine="540"/>
        <w:jc w:val="both"/>
      </w:pPr>
      <w:r>
        <w:rPr>
          <w:sz w:val="20"/>
        </w:rPr>
        <w:t xml:space="preserve">стимулирование увеличения объема и доли внебюджетных источников финансирования реализации мероприятий по модернизации и развитию инфраструктуры в сфере водоснабжения;</w:t>
      </w:r>
    </w:p>
    <w:p>
      <w:pPr>
        <w:pStyle w:val="0"/>
        <w:spacing w:before="200" w:line-rule="auto"/>
        <w:ind w:firstLine="540"/>
        <w:jc w:val="both"/>
      </w:pPr>
      <w:r>
        <w:rPr>
          <w:sz w:val="20"/>
        </w:rPr>
        <w:t xml:space="preserve">создание упрощенного механизма передачи бесхозяйных объектов и сетей водоснабжения в государственную (муниципальную) собственность;</w:t>
      </w:r>
    </w:p>
    <w:p>
      <w:pPr>
        <w:pStyle w:val="0"/>
        <w:spacing w:before="200" w:line-rule="auto"/>
        <w:ind w:firstLine="540"/>
        <w:jc w:val="both"/>
      </w:pPr>
      <w:r>
        <w:rPr>
          <w:sz w:val="20"/>
        </w:rPr>
        <w:t xml:space="preserve">создание механизмов реализации проектов по модернизации действующих или строительству новых централизованных систем водоснабжения, в том числе на основе принципов государственно-частного партнерства;</w:t>
      </w:r>
    </w:p>
    <w:p>
      <w:pPr>
        <w:pStyle w:val="0"/>
        <w:spacing w:before="200" w:line-rule="auto"/>
        <w:ind w:firstLine="540"/>
        <w:jc w:val="both"/>
      </w:pPr>
      <w:r>
        <w:rPr>
          <w:sz w:val="20"/>
        </w:rPr>
        <w:t xml:space="preserve">обновление объектов водоснабжения посредством реализации программы модернизации коммунальной инфраструктуры на период 2023 - 2027 годов с прогнозом до 2030 года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до 99 процентов увеличена доля населения Российской Федерации, обеспеченного качественной питьевой водой из централизованных источников водоснабжения, в том числе за счет увеличения доли обеспеченности качественной питьевой водой сельского населения;</w:t>
      </w:r>
    </w:p>
    <w:p>
      <w:pPr>
        <w:pStyle w:val="0"/>
        <w:spacing w:before="200" w:line-rule="auto"/>
        <w:ind w:firstLine="540"/>
        <w:jc w:val="both"/>
      </w:pPr>
      <w:r>
        <w:rPr>
          <w:sz w:val="20"/>
        </w:rPr>
        <w:t xml:space="preserve">повышен уровень надежности и эффективности систем водоснабжения, обеспечено сокращение коммерческих и нормативных потерь воды на сетях водоснабжения, снижен уровень аварийности на сетях и объектах водоснабжения;</w:t>
      </w:r>
    </w:p>
    <w:p>
      <w:pPr>
        <w:pStyle w:val="0"/>
        <w:spacing w:before="200" w:line-rule="auto"/>
        <w:ind w:firstLine="540"/>
        <w:jc w:val="both"/>
      </w:pPr>
      <w:r>
        <w:rPr>
          <w:sz w:val="20"/>
        </w:rPr>
        <w:t xml:space="preserve">доля привлеченных средств, в том числе средств частных инвесторов, а также средств, привлекаемых субъектами Российской Федерации на возвратной основе, в общем объеме капитальных вложений в системы водоснабжения за весь период реализации Стратегии составит не менее 30 процентов.</w:t>
      </w:r>
    </w:p>
    <w:p>
      <w:pPr>
        <w:pStyle w:val="0"/>
        <w:jc w:val="both"/>
      </w:pPr>
      <w:r>
        <w:rPr>
          <w:sz w:val="20"/>
        </w:rPr>
      </w:r>
    </w:p>
    <w:p>
      <w:pPr>
        <w:pStyle w:val="2"/>
        <w:outlineLvl w:val="3"/>
        <w:jc w:val="center"/>
      </w:pPr>
      <w:r>
        <w:rPr>
          <w:sz w:val="20"/>
        </w:rPr>
        <w:t xml:space="preserve">Водоотведение</w:t>
      </w:r>
    </w:p>
    <w:p>
      <w:pPr>
        <w:pStyle w:val="0"/>
        <w:jc w:val="both"/>
      </w:pPr>
      <w:r>
        <w:rPr>
          <w:sz w:val="20"/>
        </w:rPr>
      </w:r>
    </w:p>
    <w:p>
      <w:pPr>
        <w:pStyle w:val="0"/>
        <w:ind w:firstLine="540"/>
        <w:jc w:val="both"/>
      </w:pPr>
      <w:r>
        <w:rPr>
          <w:sz w:val="20"/>
        </w:rPr>
        <w:t xml:space="preserve">Задачами в сфере водоотведения являются снижение негативного воздействия на окружающую среду путем повышения качества очистки сточных вод, а также снижение неконтролируемого аварийного износа сетей водоотведения, приводящего к попаданию неочищенных стоков на рельеф местности и в водные объекты.</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высокий уровень накопленного износа основных фондов и сетевого хозяйства организаций в сфере водоотведения, что приводит к загрязнению почв, поверхностных и подземных источников водоснабжения;</w:t>
      </w:r>
    </w:p>
    <w:p>
      <w:pPr>
        <w:pStyle w:val="0"/>
        <w:spacing w:before="200" w:line-rule="auto"/>
        <w:ind w:firstLine="540"/>
        <w:jc w:val="both"/>
      </w:pPr>
      <w:r>
        <w:rPr>
          <w:sz w:val="20"/>
        </w:rPr>
        <w:t xml:space="preserve">отсутствие нормативной работы системы поверхностного водоотвода в населенных пунктах делает невозможным применение механизмов государственно-частного партнерства и привлечение внебюджетных источников финансирования при строительстве (реконструкции) систем поверхностного водоотвода;</w:t>
      </w:r>
    </w:p>
    <w:p>
      <w:pPr>
        <w:pStyle w:val="0"/>
        <w:spacing w:before="200" w:line-rule="auto"/>
        <w:ind w:firstLine="540"/>
        <w:jc w:val="both"/>
      </w:pPr>
      <w:r>
        <w:rPr>
          <w:sz w:val="20"/>
        </w:rPr>
        <w:t xml:space="preserve">недостаточно развиты системы централизованного водоотведения и очистки коммунальных бытовых стоков - около 20 процентов населения проживают в условиях отсутствия централизованных или локальных очистных сооружений, значительное количество социально значимых объектов в малых и средних населенных пунктах не обеспечено системами централизованного водоотведения и очистки бытовых стоков.</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обеспечение сохранности источников питьевого водоснабжения и экологической безопасности водных ресурсов;</w:t>
      </w:r>
    </w:p>
    <w:p>
      <w:pPr>
        <w:pStyle w:val="0"/>
        <w:spacing w:before="200" w:line-rule="auto"/>
        <w:ind w:firstLine="540"/>
        <w:jc w:val="both"/>
      </w:pPr>
      <w:r>
        <w:rPr>
          <w:sz w:val="20"/>
        </w:rPr>
        <w:t xml:space="preserve">повышение темпов замены сетей водоотведения до уровня не менее 5 процентов в год;</w:t>
      </w:r>
    </w:p>
    <w:p>
      <w:pPr>
        <w:pStyle w:val="0"/>
        <w:spacing w:before="200" w:line-rule="auto"/>
        <w:ind w:firstLine="540"/>
        <w:jc w:val="both"/>
      </w:pPr>
      <w:r>
        <w:rPr>
          <w:sz w:val="20"/>
        </w:rPr>
        <w:t xml:space="preserve">снижение уровня аварийности на сетях водоотведения;</w:t>
      </w:r>
    </w:p>
    <w:p>
      <w:pPr>
        <w:pStyle w:val="0"/>
        <w:spacing w:before="200" w:line-rule="auto"/>
        <w:ind w:firstLine="540"/>
        <w:jc w:val="both"/>
      </w:pPr>
      <w:r>
        <w:rPr>
          <w:sz w:val="20"/>
        </w:rPr>
        <w:t xml:space="preserve">повышение качества разработки схем водоотведения в части их соответствия требованиям действующего законодательства Российской Федерации;</w:t>
      </w:r>
    </w:p>
    <w:p>
      <w:pPr>
        <w:pStyle w:val="0"/>
        <w:spacing w:before="200" w:line-rule="auto"/>
        <w:ind w:firstLine="540"/>
        <w:jc w:val="both"/>
      </w:pPr>
      <w:r>
        <w:rPr>
          <w:sz w:val="20"/>
        </w:rPr>
        <w:t xml:space="preserve">разработка мер стимулирования привлечения внебюджетных источников финансирования для реализации мероприятий по модернизации и развитию инфраструктуры в сфере водоотведения.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проведение оценки состояния централизованных систем водоотведения на постоянной основе;</w:t>
      </w:r>
    </w:p>
    <w:p>
      <w:pPr>
        <w:pStyle w:val="0"/>
        <w:spacing w:before="200" w:line-rule="auto"/>
        <w:ind w:firstLine="540"/>
        <w:jc w:val="both"/>
      </w:pPr>
      <w:r>
        <w:rPr>
          <w:sz w:val="20"/>
        </w:rPr>
        <w:t xml:space="preserve">введение требования о ежегодной актуализации схем водоснабжения и водоотведения и передача полномочий по их утверждению на уровень субъекта Российской Федерации;</w:t>
      </w:r>
    </w:p>
    <w:p>
      <w:pPr>
        <w:pStyle w:val="0"/>
        <w:spacing w:before="200" w:line-rule="auto"/>
        <w:ind w:firstLine="540"/>
        <w:jc w:val="both"/>
      </w:pPr>
      <w:r>
        <w:rPr>
          <w:sz w:val="20"/>
        </w:rPr>
        <w:t xml:space="preserve">отказ от разработки и утверждения производственных программ ресурсоснабжающей организации в пользу обязательного наличия инвестиционной программы ресурсоснабжающей организации;</w:t>
      </w:r>
    </w:p>
    <w:p>
      <w:pPr>
        <w:pStyle w:val="0"/>
        <w:spacing w:before="200" w:line-rule="auto"/>
        <w:ind w:firstLine="540"/>
        <w:jc w:val="both"/>
      </w:pPr>
      <w:r>
        <w:rPr>
          <w:sz w:val="20"/>
        </w:rPr>
        <w:t xml:space="preserve">стимулирование увеличения объема и доли внебюджетных источников финансирования реализации мероприятий по модернизации и развитию инфраструктуры в сфере водоотведения;</w:t>
      </w:r>
    </w:p>
    <w:p>
      <w:pPr>
        <w:pStyle w:val="0"/>
        <w:spacing w:before="200" w:line-rule="auto"/>
        <w:ind w:firstLine="540"/>
        <w:jc w:val="both"/>
      </w:pPr>
      <w:r>
        <w:rPr>
          <w:sz w:val="20"/>
        </w:rPr>
        <w:t xml:space="preserve">создание механизма передачи бесхозяйных объектов и сетей поверхностного водоотвода в государственную (муниципальную) собственность;</w:t>
      </w:r>
    </w:p>
    <w:p>
      <w:pPr>
        <w:pStyle w:val="0"/>
        <w:spacing w:before="200" w:line-rule="auto"/>
        <w:ind w:firstLine="540"/>
        <w:jc w:val="both"/>
      </w:pPr>
      <w:r>
        <w:rPr>
          <w:sz w:val="20"/>
        </w:rPr>
        <w:t xml:space="preserve">создание механизмов реализации проектов по модернизации действующих или строительству новых централизованных систем водоотведения поверхностного стока, в том числе на основе принципов государственно-частного партнерства;</w:t>
      </w:r>
    </w:p>
    <w:p>
      <w:pPr>
        <w:pStyle w:val="0"/>
        <w:spacing w:before="200" w:line-rule="auto"/>
        <w:ind w:firstLine="540"/>
        <w:jc w:val="both"/>
      </w:pPr>
      <w:r>
        <w:rPr>
          <w:sz w:val="20"/>
        </w:rPr>
        <w:t xml:space="preserve">разработка мер в целях поддержки развития систем централизованной очистки коммунальных бытовых стоков в малых и средних населенных пунктах и местах компактного проживания граждан;</w:t>
      </w:r>
    </w:p>
    <w:p>
      <w:pPr>
        <w:pStyle w:val="0"/>
        <w:spacing w:before="200" w:line-rule="auto"/>
        <w:ind w:firstLine="540"/>
        <w:jc w:val="both"/>
      </w:pPr>
      <w:r>
        <w:rPr>
          <w:sz w:val="20"/>
        </w:rPr>
        <w:t xml:space="preserve">разработка мер в целях поддержки развития инвестиционных проектов в сфере очистки и обеззараживания коммунальных бытовых стоков, сбора и утилизации биогаза с очистных сооружений коммунальных бытовых стоков;</w:t>
      </w:r>
    </w:p>
    <w:p>
      <w:pPr>
        <w:pStyle w:val="0"/>
        <w:spacing w:before="200" w:line-rule="auto"/>
        <w:ind w:firstLine="540"/>
        <w:jc w:val="both"/>
      </w:pPr>
      <w:r>
        <w:rPr>
          <w:sz w:val="20"/>
        </w:rPr>
        <w:t xml:space="preserve">обновление объектов водоотведения посредством реализации программы модернизации коммунальной инфраструктуры на период 2023 - 2027 годов с прогнозом до 2030 года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повышен уровень надежности и эффективности систем водоотведения, снижен уровень аварийности на сетях и объектах водоотведения;</w:t>
      </w:r>
    </w:p>
    <w:p>
      <w:pPr>
        <w:pStyle w:val="0"/>
        <w:spacing w:before="200" w:line-rule="auto"/>
        <w:ind w:firstLine="540"/>
        <w:jc w:val="both"/>
      </w:pPr>
      <w:r>
        <w:rPr>
          <w:sz w:val="20"/>
        </w:rPr>
        <w:t xml:space="preserve">сокращен сброс загрязненных сточных вод в водные объекты, определенные как ключевые водные объекты Российской Федерации;</w:t>
      </w:r>
    </w:p>
    <w:p>
      <w:pPr>
        <w:pStyle w:val="0"/>
        <w:spacing w:before="200" w:line-rule="auto"/>
        <w:ind w:firstLine="540"/>
        <w:jc w:val="both"/>
      </w:pPr>
      <w:r>
        <w:rPr>
          <w:sz w:val="20"/>
        </w:rPr>
        <w:t xml:space="preserve">восстановлена нормативная работа существующих систем поверхностного водоотвода в населенных пунктах, созданы новые системы;</w:t>
      </w:r>
    </w:p>
    <w:p>
      <w:pPr>
        <w:pStyle w:val="0"/>
        <w:spacing w:before="200" w:line-rule="auto"/>
        <w:ind w:firstLine="540"/>
        <w:jc w:val="both"/>
      </w:pPr>
      <w:r>
        <w:rPr>
          <w:sz w:val="20"/>
        </w:rPr>
        <w:t xml:space="preserve">доля привлеченных средств, в том числе средств частных инвесторов, а также средств, привлекаемых субъектами Российской Федерации на возвратной основе, в общем объеме капитальных вложений в системы водоснабжения, водоотведения за весь период реализации Стратегии составит не менее 30 процентов.</w:t>
      </w:r>
    </w:p>
    <w:p>
      <w:pPr>
        <w:pStyle w:val="0"/>
        <w:jc w:val="both"/>
      </w:pPr>
      <w:r>
        <w:rPr>
          <w:sz w:val="20"/>
        </w:rPr>
      </w:r>
    </w:p>
    <w:p>
      <w:pPr>
        <w:pStyle w:val="2"/>
        <w:outlineLvl w:val="3"/>
        <w:jc w:val="center"/>
      </w:pPr>
      <w:r>
        <w:rPr>
          <w:sz w:val="20"/>
        </w:rPr>
        <w:t xml:space="preserve">Газоснабжение</w:t>
      </w:r>
    </w:p>
    <w:p>
      <w:pPr>
        <w:pStyle w:val="0"/>
        <w:jc w:val="both"/>
      </w:pPr>
      <w:r>
        <w:rPr>
          <w:sz w:val="20"/>
        </w:rPr>
      </w:r>
    </w:p>
    <w:p>
      <w:pPr>
        <w:pStyle w:val="0"/>
        <w:ind w:firstLine="540"/>
        <w:jc w:val="both"/>
      </w:pPr>
      <w:r>
        <w:rPr>
          <w:sz w:val="20"/>
        </w:rPr>
        <w:t xml:space="preserve">Обеспечение газом объектов капитального строительства является одним из условий полноценного и комплексного развития строительной отрасли и жилищно-коммунального хозяйства. Реализация проектов по модернизации объектов теплоснабжения является одним из инструментов для совершенствования внутреннего рынка газа и развития производства и потребления сжиженного природного газа как источника экологичного и энергоэффективного вида топлива.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недостаточный уровень развития газотранспортной инфраструктуры и газификации населения, в особенности в сельской местности;</w:t>
      </w:r>
    </w:p>
    <w:p>
      <w:pPr>
        <w:pStyle w:val="0"/>
        <w:spacing w:before="200" w:line-rule="auto"/>
        <w:ind w:firstLine="540"/>
        <w:jc w:val="both"/>
      </w:pPr>
      <w:r>
        <w:rPr>
          <w:sz w:val="20"/>
        </w:rPr>
        <w:t xml:space="preserve">низкий уровень синхронизации схем развития систем теплоснабжения и программ и схем развития газоснабжения, в том числе в части удовлетворения потребности населения в подключении к централизованным системам теплоснабжения и социальной газификации;</w:t>
      </w:r>
    </w:p>
    <w:p>
      <w:pPr>
        <w:pStyle w:val="0"/>
        <w:spacing w:before="200" w:line-rule="auto"/>
        <w:ind w:firstLine="540"/>
        <w:jc w:val="both"/>
      </w:pPr>
      <w:r>
        <w:rPr>
          <w:sz w:val="20"/>
        </w:rPr>
        <w:t xml:space="preserve">неразвитая инфраструктура по производству, транспортировке и потреблению сжиженного природного газа в целях автономного обеспечения теплоснабжения малонаселенных и территориально удаленных от газовых магистралей населенных пунктов;</w:t>
      </w:r>
    </w:p>
    <w:p>
      <w:pPr>
        <w:pStyle w:val="0"/>
        <w:spacing w:before="200" w:line-rule="auto"/>
        <w:ind w:firstLine="540"/>
        <w:jc w:val="both"/>
      </w:pPr>
      <w:r>
        <w:rPr>
          <w:sz w:val="20"/>
        </w:rPr>
        <w:t xml:space="preserve">низкий уровень безопасности внутридомового и внутриквартирного газового оборудования ввиду его аварийного состояния.</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условий для первоочередного подведения газа к земельным участкам, вовлекаемым в оборот для жилищного строительства;</w:t>
      </w:r>
    </w:p>
    <w:p>
      <w:pPr>
        <w:pStyle w:val="0"/>
        <w:spacing w:before="200" w:line-rule="auto"/>
        <w:ind w:firstLine="540"/>
        <w:jc w:val="both"/>
      </w:pPr>
      <w:r>
        <w:rPr>
          <w:sz w:val="20"/>
        </w:rPr>
        <w:t xml:space="preserve">участие в совершенствовании внутреннего рынка газа в целях развития индивидуального жилищного строительства и централизованных систем теплоснабжения;</w:t>
      </w:r>
    </w:p>
    <w:p>
      <w:pPr>
        <w:pStyle w:val="0"/>
        <w:spacing w:before="200" w:line-rule="auto"/>
        <w:ind w:firstLine="540"/>
        <w:jc w:val="both"/>
      </w:pPr>
      <w:r>
        <w:rPr>
          <w:sz w:val="20"/>
        </w:rPr>
        <w:t xml:space="preserve">усиление контроля за состоянием и процессом эксплуатации внутридомового и внутриквартирного газового оборудования в части его соответствия требованиям безопасности.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синхронизация схем развития систем теплоснабжения и программ газоснабжения, в том числе в части удовлетворения потребности населения в газификации и подключении к централизованным системам теплоснабжения;</w:t>
      </w:r>
    </w:p>
    <w:p>
      <w:pPr>
        <w:pStyle w:val="0"/>
        <w:spacing w:before="200" w:line-rule="auto"/>
        <w:ind w:firstLine="540"/>
        <w:jc w:val="both"/>
      </w:pPr>
      <w:r>
        <w:rPr>
          <w:sz w:val="20"/>
        </w:rPr>
        <w:t xml:space="preserve">стимулирование внутреннего спроса на сжиженный природный газ как инструмент обеспечения энергетической безопасности территорий, отдаленных от магистральной системы газоснабжения и использующих в виде топлива мазут и уголь;</w:t>
      </w:r>
    </w:p>
    <w:p>
      <w:pPr>
        <w:pStyle w:val="0"/>
        <w:spacing w:before="200" w:line-rule="auto"/>
        <w:ind w:firstLine="540"/>
        <w:jc w:val="both"/>
      </w:pPr>
      <w:r>
        <w:rPr>
          <w:sz w:val="20"/>
        </w:rPr>
        <w:t xml:space="preserve">организация квалифицированного обслуживания внутридомового и внутриквартирного газового оборудования, ужесточение требований к обслуживанию вентиляционного оборудования, урегулирование вопроса доступа в жилые помещения проверяющих организаций.</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созданы условия для подведения газа к земельным участкам, вовлекаемым в оборот для целей жилищного строительства;</w:t>
      </w:r>
    </w:p>
    <w:p>
      <w:pPr>
        <w:pStyle w:val="0"/>
        <w:spacing w:before="200" w:line-rule="auto"/>
        <w:ind w:firstLine="540"/>
        <w:jc w:val="both"/>
      </w:pPr>
      <w:r>
        <w:rPr>
          <w:sz w:val="20"/>
        </w:rPr>
        <w:t xml:space="preserve">обеспечены условия для автономного, энергоэффективного и экологичного теплоснабжения малонаселенных и территориально удаленных от магистрального газа населенных пунктов путем увеличения потребления сжиженного природного газа;</w:t>
      </w:r>
    </w:p>
    <w:p>
      <w:pPr>
        <w:pStyle w:val="0"/>
        <w:spacing w:before="200" w:line-rule="auto"/>
        <w:ind w:firstLine="540"/>
        <w:jc w:val="both"/>
      </w:pPr>
      <w:r>
        <w:rPr>
          <w:sz w:val="20"/>
        </w:rPr>
        <w:t xml:space="preserve">сокращено количество происшествий, возникающих из-за нарушений использования внутридомового и внутриквартирного газового оборудования.</w:t>
      </w:r>
    </w:p>
    <w:p>
      <w:pPr>
        <w:pStyle w:val="0"/>
        <w:jc w:val="both"/>
      </w:pPr>
      <w:r>
        <w:rPr>
          <w:sz w:val="20"/>
        </w:rPr>
      </w:r>
    </w:p>
    <w:p>
      <w:pPr>
        <w:pStyle w:val="2"/>
        <w:outlineLvl w:val="3"/>
        <w:jc w:val="center"/>
      </w:pPr>
      <w:r>
        <w:rPr>
          <w:sz w:val="20"/>
        </w:rPr>
        <w:t xml:space="preserve">Обращение с отходами производства и потребления</w:t>
      </w:r>
    </w:p>
    <w:p>
      <w:pPr>
        <w:pStyle w:val="0"/>
        <w:jc w:val="both"/>
      </w:pPr>
      <w:r>
        <w:rPr>
          <w:sz w:val="20"/>
        </w:rPr>
      </w:r>
    </w:p>
    <w:p>
      <w:pPr>
        <w:pStyle w:val="0"/>
        <w:ind w:firstLine="540"/>
        <w:jc w:val="both"/>
      </w:pPr>
      <w:r>
        <w:rPr>
          <w:sz w:val="20"/>
        </w:rPr>
        <w:t xml:space="preserve">Основным вектором развития отрасли обращения с отходами производства и потребления в России, как и во всем мире, должна стать минимизация захоронения отходов, в том числе отходов строительства и сноса. Максимальная доля отходов производства и потребления должна перерабатываться и использоваться повторно.</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недостаточная обеспеченность инфраструктурой для обращения с отходами производства и потребления, в том числе для организации раздельного сбора и накопления твердых коммунальных отходов;</w:t>
      </w:r>
    </w:p>
    <w:p>
      <w:pPr>
        <w:pStyle w:val="0"/>
        <w:spacing w:before="200" w:line-rule="auto"/>
        <w:ind w:firstLine="540"/>
        <w:jc w:val="both"/>
      </w:pPr>
      <w:r>
        <w:rPr>
          <w:sz w:val="20"/>
        </w:rPr>
        <w:t xml:space="preserve">недостаточно эффективное использование в строительном цикле вторичных материальных ресурсов;</w:t>
      </w:r>
    </w:p>
    <w:p>
      <w:pPr>
        <w:pStyle w:val="0"/>
        <w:spacing w:before="200" w:line-rule="auto"/>
        <w:ind w:firstLine="540"/>
        <w:jc w:val="both"/>
      </w:pPr>
      <w:r>
        <w:rPr>
          <w:sz w:val="20"/>
        </w:rPr>
        <w:t xml:space="preserve">низкая доля сортируемых твердых коммунальных отходов и отходов строительства и сноса, а также повторно используемых вторичных материальных ресурсов, полученных в результате утилизации твердых коммунальных отходов и отходов строительства и сноса.</w:t>
      </w:r>
    </w:p>
    <w:p>
      <w:pPr>
        <w:pStyle w:val="0"/>
        <w:spacing w:before="200" w:line-rule="auto"/>
        <w:ind w:firstLine="540"/>
        <w:jc w:val="both"/>
      </w:pPr>
      <w:r>
        <w:rPr>
          <w:sz w:val="20"/>
        </w:rPr>
        <w:t xml:space="preserve">Задачами являются ресурсосбережение и максимальное вовлечение вторичных материальных ресурсов, полученных в результате утилизации твердых коммунальных отходов и отходов строительства и сноса, в хозяйственный оборот в качестве дополнительных источников сырья.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участие в обеспечении необходимой инфраструктуры для раздельного сбора твердых коммунальных отходов, отходов строительства и сноса и подготовке их к утилизации;</w:t>
      </w:r>
    </w:p>
    <w:p>
      <w:pPr>
        <w:pStyle w:val="0"/>
        <w:spacing w:before="200" w:line-rule="auto"/>
        <w:ind w:firstLine="540"/>
        <w:jc w:val="both"/>
      </w:pPr>
      <w:r>
        <w:rPr>
          <w:sz w:val="20"/>
        </w:rPr>
        <w:t xml:space="preserve">утверждение единых требований к порядку обращения с отходами строительства и сноса и наделение субъектов Российской Федерации полномочиями по организации деятельности по накоплению (в том числе раздельному накоплению), сбору, транспортированию, обработке, утилизации, обезвреживанию и размещению отходов строительства и сноса;</w:t>
      </w:r>
    </w:p>
    <w:p>
      <w:pPr>
        <w:pStyle w:val="0"/>
        <w:spacing w:before="200" w:line-rule="auto"/>
        <w:ind w:firstLine="540"/>
        <w:jc w:val="both"/>
      </w:pPr>
      <w:r>
        <w:rPr>
          <w:sz w:val="20"/>
        </w:rPr>
        <w:t xml:space="preserve">участие в разработке мер стимулирования, направленных на использование в качестве строительных материалов, а также для рекультивации и благоустройства территорий вторичных материальных ресурсов и продукции, произведенной с использованием таких вторичных материальных ресурсов, полученных в результате утилизации твердых коммунальных отходов и отходов строительства и сноса;</w:t>
      </w:r>
    </w:p>
    <w:p>
      <w:pPr>
        <w:pStyle w:val="0"/>
        <w:spacing w:before="200" w:line-rule="auto"/>
        <w:ind w:firstLine="540"/>
        <w:jc w:val="both"/>
      </w:pPr>
      <w:r>
        <w:rPr>
          <w:sz w:val="20"/>
        </w:rPr>
        <w:t xml:space="preserve">стимулирование вовлечения отходов строительства и сноса во вторичный оборот.</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сокращены объемы захораниваемых твердых коммунальных отходов и отходов строительства и сноса, не подлежащих дальнейшей утилизации, и, как следствие, минимизирован вред, наносимый окружающей среде в результате загрязнения отходами производства и потребления;</w:t>
      </w:r>
    </w:p>
    <w:p>
      <w:pPr>
        <w:pStyle w:val="0"/>
        <w:spacing w:before="200" w:line-rule="auto"/>
        <w:ind w:firstLine="540"/>
        <w:jc w:val="both"/>
      </w:pPr>
      <w:r>
        <w:rPr>
          <w:sz w:val="20"/>
        </w:rPr>
        <w:t xml:space="preserve">обеспечено создание условий, необходимых для беспрепятственного и повсеместного доступа населения к инфраструктуре раздельного накопления и сбора отходов производства и потребления, в том числе твердых коммунальных отходов и отходов строительства и сноса;</w:t>
      </w:r>
    </w:p>
    <w:p>
      <w:pPr>
        <w:pStyle w:val="0"/>
        <w:spacing w:before="200" w:line-rule="auto"/>
        <w:ind w:firstLine="540"/>
        <w:jc w:val="both"/>
      </w:pPr>
      <w:r>
        <w:rPr>
          <w:sz w:val="20"/>
        </w:rPr>
        <w:t xml:space="preserve">увеличена вовлеченность вторичных материальных ресурсов, полученных в результате утилизации твердых коммунальных отходов и отходов строительства и сноса, в хозяйственный оборот;</w:t>
      </w:r>
    </w:p>
    <w:p>
      <w:pPr>
        <w:pStyle w:val="0"/>
        <w:spacing w:before="200" w:line-rule="auto"/>
        <w:ind w:firstLine="540"/>
        <w:jc w:val="both"/>
      </w:pPr>
      <w:r>
        <w:rPr>
          <w:sz w:val="20"/>
        </w:rPr>
        <w:t xml:space="preserve">увеличено использование в строительном цикле ресурсов, полученных в результате утилизации твердых коммунальных отходов и отходов строительства и сноса.</w:t>
      </w:r>
    </w:p>
    <w:p>
      <w:pPr>
        <w:pStyle w:val="0"/>
        <w:jc w:val="both"/>
      </w:pPr>
      <w:r>
        <w:rPr>
          <w:sz w:val="20"/>
        </w:rPr>
      </w:r>
    </w:p>
    <w:p>
      <w:pPr>
        <w:pStyle w:val="2"/>
        <w:outlineLvl w:val="2"/>
        <w:jc w:val="center"/>
      </w:pPr>
      <w:r>
        <w:rPr>
          <w:sz w:val="20"/>
        </w:rPr>
        <w:t xml:space="preserve">Профессиональная трансформация в сфере</w:t>
      </w:r>
    </w:p>
    <w:p>
      <w:pPr>
        <w:pStyle w:val="2"/>
        <w:jc w:val="center"/>
      </w:pPr>
      <w:r>
        <w:rPr>
          <w:sz w:val="20"/>
        </w:rPr>
        <w:t xml:space="preserve">жилищно-коммунального хозяйства</w:t>
      </w:r>
    </w:p>
    <w:p>
      <w:pPr>
        <w:pStyle w:val="0"/>
        <w:jc w:val="both"/>
      </w:pPr>
      <w:r>
        <w:rPr>
          <w:sz w:val="20"/>
        </w:rPr>
      </w:r>
    </w:p>
    <w:p>
      <w:pPr>
        <w:pStyle w:val="0"/>
        <w:ind w:firstLine="540"/>
        <w:jc w:val="both"/>
      </w:pPr>
      <w:r>
        <w:rPr>
          <w:sz w:val="20"/>
        </w:rPr>
        <w:t xml:space="preserve">Вызовами являются:</w:t>
      </w:r>
    </w:p>
    <w:p>
      <w:pPr>
        <w:pStyle w:val="0"/>
        <w:spacing w:before="200" w:line-rule="auto"/>
        <w:ind w:firstLine="540"/>
        <w:jc w:val="both"/>
      </w:pPr>
      <w:r>
        <w:rPr>
          <w:sz w:val="20"/>
        </w:rPr>
        <w:t xml:space="preserve">внедрение в сферу жилищно-коммунального хозяйства новых технологий, автоматизации и цифровизации поднимает на новый уровень требования к компетенциям кадрового состава организаций, осуществляющих деятельность в сфере жилищно-коммунального хозяйства;</w:t>
      </w:r>
    </w:p>
    <w:p>
      <w:pPr>
        <w:pStyle w:val="0"/>
        <w:spacing w:before="200" w:line-rule="auto"/>
        <w:ind w:firstLine="540"/>
        <w:jc w:val="both"/>
      </w:pPr>
      <w:r>
        <w:rPr>
          <w:sz w:val="20"/>
        </w:rPr>
        <w:t xml:space="preserve">дефицит профессиональных кадров в сфере жилищно-коммунального хозяйства, обусловленный низкой привлекательностью рабочих мест и связанный с недостаточным уровнем развития системы профессиональной подготовки кадров для нужд отрасли жилищно-коммунального хозяйства.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развитие системы профессиональной подготовки, переподготовки и повышения квалификации кадров для нужд отрасли жилищно-коммунального хозяйства;</w:t>
      </w:r>
    </w:p>
    <w:p>
      <w:pPr>
        <w:pStyle w:val="0"/>
        <w:spacing w:before="200" w:line-rule="auto"/>
        <w:ind w:firstLine="540"/>
        <w:jc w:val="both"/>
      </w:pPr>
      <w:r>
        <w:rPr>
          <w:sz w:val="20"/>
        </w:rPr>
        <w:t xml:space="preserve">повышение уровня компетенций руководителей и специалистов предприятий жилищно-коммунального хозяйства, профильных ведомств;</w:t>
      </w:r>
    </w:p>
    <w:p>
      <w:pPr>
        <w:pStyle w:val="0"/>
        <w:spacing w:before="200" w:line-rule="auto"/>
        <w:ind w:firstLine="540"/>
        <w:jc w:val="both"/>
      </w:pPr>
      <w:r>
        <w:rPr>
          <w:sz w:val="20"/>
        </w:rPr>
        <w:t xml:space="preserve">введение механизма систематического мониторинга прогнозирования кадровой потребности для отрасли.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разработка методологии и ведение систематического мониторинга прогнозирования кадровой потребности для отрасли;</w:t>
      </w:r>
    </w:p>
    <w:p>
      <w:pPr>
        <w:pStyle w:val="0"/>
        <w:spacing w:before="200" w:line-rule="auto"/>
        <w:ind w:firstLine="540"/>
        <w:jc w:val="both"/>
      </w:pPr>
      <w:r>
        <w:rPr>
          <w:sz w:val="20"/>
        </w:rPr>
        <w:t xml:space="preserve">развитие схем и форматов подготовки кадров по программам дополнительного профессионального образования (краткосрочного обучения и переобучения, повышения квалификации и профессиональной переподготовки) по профильным направлениям с учетом современных потребностей отрасли;</w:t>
      </w:r>
    </w:p>
    <w:p>
      <w:pPr>
        <w:pStyle w:val="0"/>
        <w:spacing w:before="200" w:line-rule="auto"/>
        <w:ind w:firstLine="540"/>
        <w:jc w:val="both"/>
      </w:pPr>
      <w:r>
        <w:rPr>
          <w:sz w:val="20"/>
        </w:rPr>
        <w:t xml:space="preserve">синхронизация существующих инструментов государственной поддержки развития образования и кадрового обеспечения с потребностями отрасли жилищно-коммунального хозяйства;</w:t>
      </w:r>
    </w:p>
    <w:p>
      <w:pPr>
        <w:pStyle w:val="0"/>
        <w:spacing w:before="200" w:line-rule="auto"/>
        <w:ind w:firstLine="540"/>
        <w:jc w:val="both"/>
      </w:pPr>
      <w:r>
        <w:rPr>
          <w:sz w:val="20"/>
        </w:rPr>
        <w:t xml:space="preserve">вовлечение работодателей в процесс подготовки специалистов;</w:t>
      </w:r>
    </w:p>
    <w:p>
      <w:pPr>
        <w:pStyle w:val="0"/>
        <w:spacing w:before="200" w:line-rule="auto"/>
        <w:ind w:firstLine="540"/>
        <w:jc w:val="both"/>
      </w:pPr>
      <w:r>
        <w:rPr>
          <w:sz w:val="20"/>
        </w:rPr>
        <w:t xml:space="preserve">актуализация и разработка инструментов независимой оценки квалификации персонала в сфере жилищно-коммунального хозяйства.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обеспечена подготовка специалистов, обладающих компетенциями, соответствующими современным потребностям сферы жилищно-коммунального хозяйства;</w:t>
      </w:r>
    </w:p>
    <w:p>
      <w:pPr>
        <w:pStyle w:val="0"/>
        <w:spacing w:before="200" w:line-rule="auto"/>
        <w:ind w:firstLine="540"/>
        <w:jc w:val="both"/>
      </w:pPr>
      <w:r>
        <w:rPr>
          <w:sz w:val="20"/>
        </w:rPr>
        <w:t xml:space="preserve">обеспечены мотивирующие факторы для повышения уровня профессионального развития работников, а также для совершенствования системы подготовки кадров в сфере жилищно-коммунального хозяйства.</w:t>
      </w:r>
    </w:p>
    <w:p>
      <w:pPr>
        <w:pStyle w:val="0"/>
        <w:jc w:val="both"/>
      </w:pPr>
      <w:r>
        <w:rPr>
          <w:sz w:val="20"/>
        </w:rPr>
      </w:r>
    </w:p>
    <w:p>
      <w:pPr>
        <w:pStyle w:val="2"/>
        <w:outlineLvl w:val="2"/>
        <w:jc w:val="center"/>
      </w:pPr>
      <w:r>
        <w:rPr>
          <w:sz w:val="20"/>
        </w:rPr>
        <w:t xml:space="preserve">Формирование комфортной городской среды</w:t>
      </w:r>
    </w:p>
    <w:p>
      <w:pPr>
        <w:pStyle w:val="0"/>
        <w:jc w:val="both"/>
      </w:pPr>
      <w:r>
        <w:rPr>
          <w:sz w:val="20"/>
        </w:rPr>
      </w:r>
    </w:p>
    <w:p>
      <w:pPr>
        <w:pStyle w:val="0"/>
        <w:ind w:firstLine="540"/>
        <w:jc w:val="both"/>
      </w:pPr>
      <w:r>
        <w:rPr>
          <w:sz w:val="20"/>
        </w:rPr>
        <w:t xml:space="preserve">Формирование комфортной городской среды является неотъемлемой частью комплексного развития территорий и не может рассматриваться в отрыве от градостроительного планирования, создания городской инфраструктуры, возведения жилья, объектов торгового, культурного, спортивного и иного назначения, создания безбарьерной среды для маломобильных групп населения.</w:t>
      </w:r>
    </w:p>
    <w:p>
      <w:pPr>
        <w:pStyle w:val="0"/>
        <w:spacing w:before="200" w:line-rule="auto"/>
        <w:ind w:firstLine="540"/>
        <w:jc w:val="both"/>
      </w:pPr>
      <w:r>
        <w:rPr>
          <w:sz w:val="20"/>
        </w:rPr>
        <w:t xml:space="preserve">С целью оценки состояния городской среды разработан индекс качества городской среды. Индекс качества городской среды за 2021 год по Российской Федерации составил 184 балла (на 7 баллов выше по сравнению с 2020 годом). Количество городов с благоприятной городской средой в 2021 году выросло до 490 (на 115 городов больше, чем в 2020 году). Доля городов с благоприятной средой составила 44 процента.</w:t>
      </w:r>
    </w:p>
    <w:p>
      <w:pPr>
        <w:pStyle w:val="0"/>
        <w:spacing w:before="200" w:line-rule="auto"/>
        <w:ind w:firstLine="540"/>
        <w:jc w:val="both"/>
      </w:pPr>
      <w:r>
        <w:rPr>
          <w:sz w:val="20"/>
        </w:rPr>
        <w:t xml:space="preserve">В период 2017 - 2021 годов в реализации мероприятий по формированию комфортной городской среды ежегодно принимали участие порядка 3 тыс. муниципальных образований, всего благоустроено более 89 тыс. территорий. По данным субъектов Российской Федерации, по состоянию на 1 января 2022 г. требуют благоустройства порядка 162 тыс. дворовых и 85 тыс. общественных территорий.</w:t>
      </w:r>
    </w:p>
    <w:p>
      <w:pPr>
        <w:pStyle w:val="0"/>
        <w:spacing w:before="200" w:line-rule="auto"/>
        <w:ind w:firstLine="540"/>
        <w:jc w:val="both"/>
      </w:pPr>
      <w:r>
        <w:rPr>
          <w:sz w:val="20"/>
        </w:rPr>
        <w:t xml:space="preserve">Приоритетность благоустройства территорий определяется субъектами Российской Федерации и муниципальными образованиями, в том числе по итогам голосования жителей.</w:t>
      </w:r>
    </w:p>
    <w:p>
      <w:pPr>
        <w:pStyle w:val="0"/>
        <w:spacing w:before="200" w:line-rule="auto"/>
        <w:ind w:firstLine="540"/>
        <w:jc w:val="both"/>
      </w:pPr>
      <w:r>
        <w:rPr>
          <w:sz w:val="20"/>
        </w:rPr>
        <w:t xml:space="preserve">В рамках Стратегии требует внимания еще один вопрос, относящийся к содержанию территорий кладбищ и иных мест захоронений, обеспечению безопасности эксплуатации таких территорий и качества оказания похоронных услуг.</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низкое качество городской среды более чем в 55 процентах городов Российской Федерации;</w:t>
      </w:r>
    </w:p>
    <w:p>
      <w:pPr>
        <w:pStyle w:val="0"/>
        <w:spacing w:before="200" w:line-rule="auto"/>
        <w:ind w:firstLine="540"/>
        <w:jc w:val="both"/>
      </w:pPr>
      <w:r>
        <w:rPr>
          <w:sz w:val="20"/>
        </w:rPr>
        <w:t xml:space="preserve">значительное количество неблагоустроенных (брошенных) мест погребения, отсутствие стандартов оказания услуг по погребению.</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сокращение количества городов с неблагоприятной городской средой;</w:t>
      </w:r>
    </w:p>
    <w:p>
      <w:pPr>
        <w:pStyle w:val="0"/>
        <w:spacing w:before="200" w:line-rule="auto"/>
        <w:ind w:firstLine="540"/>
        <w:jc w:val="both"/>
      </w:pPr>
      <w:r>
        <w:rPr>
          <w:sz w:val="20"/>
        </w:rPr>
        <w:t xml:space="preserve">ежегодный прирост индекса качества городской среды;</w:t>
      </w:r>
    </w:p>
    <w:p>
      <w:pPr>
        <w:pStyle w:val="0"/>
        <w:spacing w:before="200" w:line-rule="auto"/>
        <w:ind w:firstLine="540"/>
        <w:jc w:val="both"/>
      </w:pPr>
      <w:r>
        <w:rPr>
          <w:sz w:val="20"/>
        </w:rPr>
        <w:t xml:space="preserve">увеличение доли граждан, принимающих участие в решении вопросов развития городской среды;</w:t>
      </w:r>
    </w:p>
    <w:p>
      <w:pPr>
        <w:pStyle w:val="0"/>
        <w:spacing w:before="200" w:line-rule="auto"/>
        <w:ind w:firstLine="540"/>
        <w:jc w:val="both"/>
      </w:pPr>
      <w:r>
        <w:rPr>
          <w:sz w:val="20"/>
        </w:rPr>
        <w:t xml:space="preserve">установление единых требований к учету мест погребения (мест захоронения) и стандартам качества оказания услуг по погребению;</w:t>
      </w:r>
    </w:p>
    <w:p>
      <w:pPr>
        <w:pStyle w:val="0"/>
        <w:spacing w:before="200" w:line-rule="auto"/>
        <w:ind w:firstLine="540"/>
        <w:jc w:val="both"/>
      </w:pPr>
      <w:r>
        <w:rPr>
          <w:sz w:val="20"/>
        </w:rPr>
        <w:t xml:space="preserve">повышение доступности услуг по погребению и информации о гарантированном перечне услуг по погребению, в том числе через электронные сервисы.</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создание комфортных и безопасных общественных территорий, сохранение и развитие пространств населенных пунктов;</w:t>
      </w:r>
    </w:p>
    <w:p>
      <w:pPr>
        <w:pStyle w:val="0"/>
        <w:spacing w:before="200" w:line-rule="auto"/>
        <w:ind w:firstLine="540"/>
        <w:jc w:val="both"/>
      </w:pPr>
      <w:r>
        <w:rPr>
          <w:sz w:val="20"/>
        </w:rPr>
        <w:t xml:space="preserve">синхронизация мероприятий по благоустройству населенных пунктов с мероприятиями комплексного развития территорий, новым жилищным строительством, программой модернизации систем коммунальной инфраструктуры, капитального ремонта;</w:t>
      </w:r>
    </w:p>
    <w:p>
      <w:pPr>
        <w:pStyle w:val="0"/>
        <w:spacing w:before="200" w:line-rule="auto"/>
        <w:ind w:firstLine="540"/>
        <w:jc w:val="both"/>
      </w:pPr>
      <w:r>
        <w:rPr>
          <w:sz w:val="20"/>
        </w:rPr>
        <w:t xml:space="preserve">развитие цифровой экосистемы формирования комфортной городской среды, внедрение платформы учета общественного мнения при определении приоритетов развития объектов городского хозяйства "Решаем вместе";</w:t>
      </w:r>
    </w:p>
    <w:p>
      <w:pPr>
        <w:pStyle w:val="0"/>
        <w:spacing w:before="200" w:line-rule="auto"/>
        <w:ind w:firstLine="540"/>
        <w:jc w:val="both"/>
      </w:pPr>
      <w:r>
        <w:rPr>
          <w:sz w:val="20"/>
        </w:rPr>
        <w:t xml:space="preserve">формирование и совершенствование нормативной правовой базы, предусматривающей повышение ответственности и активности жителей в вопросах благоустройства;</w:t>
      </w:r>
    </w:p>
    <w:p>
      <w:pPr>
        <w:pStyle w:val="0"/>
        <w:spacing w:before="200" w:line-rule="auto"/>
        <w:ind w:firstLine="540"/>
        <w:jc w:val="both"/>
      </w:pPr>
      <w:r>
        <w:rPr>
          <w:sz w:val="20"/>
        </w:rPr>
        <w:t xml:space="preserve">определение границ и оформление права государственной или муниципальной собственности на земельные участки, занятые существующими местами погребения (кладбищами);</w:t>
      </w:r>
    </w:p>
    <w:p>
      <w:pPr>
        <w:pStyle w:val="0"/>
        <w:spacing w:before="200" w:line-rule="auto"/>
        <w:ind w:firstLine="540"/>
        <w:jc w:val="both"/>
      </w:pPr>
      <w:r>
        <w:rPr>
          <w:sz w:val="20"/>
        </w:rPr>
        <w:t xml:space="preserve">применение инновационных технологий при осуществлении мероприятий по благоустройству населенных пунктов, таких как "умное освещение", "зеленые крыши", "экопарковки", "оздоровительные ландшафты";</w:t>
      </w:r>
    </w:p>
    <w:p>
      <w:pPr>
        <w:pStyle w:val="0"/>
        <w:spacing w:before="200" w:line-rule="auto"/>
        <w:ind w:firstLine="540"/>
        <w:jc w:val="both"/>
      </w:pPr>
      <w:r>
        <w:rPr>
          <w:sz w:val="20"/>
        </w:rPr>
        <w:t xml:space="preserve">создание на едином портале государственных и муниципальных услуг электронных сервисов по процедурам оформления документов, необходимых для погребения умерших;</w:t>
      </w:r>
    </w:p>
    <w:p>
      <w:pPr>
        <w:pStyle w:val="0"/>
        <w:spacing w:before="200" w:line-rule="auto"/>
        <w:ind w:firstLine="540"/>
        <w:jc w:val="both"/>
      </w:pPr>
      <w:r>
        <w:rPr>
          <w:sz w:val="20"/>
        </w:rPr>
        <w:t xml:space="preserve">создание электронных реестров участников рынка услуг по погребению, мест погребений (кладбищ), в том числе реестров мест захоронений (могил) с указанием лиц, ответственных за места захоронения.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улучшено качество городской среды в 1,5 раза по отношению к 2019 году;</w:t>
      </w:r>
    </w:p>
    <w:p>
      <w:pPr>
        <w:pStyle w:val="0"/>
        <w:spacing w:before="200" w:line-rule="auto"/>
        <w:ind w:firstLine="540"/>
        <w:jc w:val="both"/>
      </w:pPr>
      <w:r>
        <w:rPr>
          <w:sz w:val="20"/>
        </w:rPr>
        <w:t xml:space="preserve">сокращено количество городов с неблагоприятной городской средой в 3 раза по сравнению с 2019 годом (не менее 894 городов станут городами с благоприятной городской средой);</w:t>
      </w:r>
    </w:p>
    <w:p>
      <w:pPr>
        <w:pStyle w:val="0"/>
        <w:spacing w:before="200" w:line-rule="auto"/>
        <w:ind w:firstLine="540"/>
        <w:jc w:val="both"/>
      </w:pPr>
      <w:r>
        <w:rPr>
          <w:sz w:val="20"/>
        </w:rPr>
        <w:t xml:space="preserve">повышен уровень активности граждан, в том числе обеспечено вовлечение не менее 30 процентов граждан старше 14 лет в решение вопросов развития городской среды;</w:t>
      </w:r>
    </w:p>
    <w:p>
      <w:pPr>
        <w:pStyle w:val="0"/>
        <w:spacing w:before="200" w:line-rule="auto"/>
        <w:ind w:firstLine="540"/>
        <w:jc w:val="both"/>
      </w:pPr>
      <w:r>
        <w:rPr>
          <w:sz w:val="20"/>
        </w:rPr>
        <w:t xml:space="preserve">благоустроено не менее 62 тыс. общественных территорий, выполняющих оздоровительные, культурно-эстетические, рекреационные функции;</w:t>
      </w:r>
    </w:p>
    <w:p>
      <w:pPr>
        <w:pStyle w:val="0"/>
        <w:spacing w:before="200" w:line-rule="auto"/>
        <w:ind w:firstLine="540"/>
        <w:jc w:val="both"/>
      </w:pPr>
      <w:r>
        <w:rPr>
          <w:sz w:val="20"/>
        </w:rPr>
        <w:t xml:space="preserve">созданы реестры кладбищ, мест захоронений и участков захоронений на них;</w:t>
      </w:r>
    </w:p>
    <w:p>
      <w:pPr>
        <w:pStyle w:val="0"/>
        <w:spacing w:before="200" w:line-rule="auto"/>
        <w:ind w:firstLine="540"/>
        <w:jc w:val="both"/>
      </w:pPr>
      <w:r>
        <w:rPr>
          <w:sz w:val="20"/>
        </w:rPr>
        <w:t xml:space="preserve">созданы электронные сервисы услуг по погребению, в том числе гарантированного перечня услуг по погребению.</w:t>
      </w:r>
    </w:p>
    <w:p>
      <w:pPr>
        <w:pStyle w:val="0"/>
        <w:jc w:val="both"/>
      </w:pPr>
      <w:r>
        <w:rPr>
          <w:sz w:val="20"/>
        </w:rPr>
      </w:r>
    </w:p>
    <w:p>
      <w:pPr>
        <w:pStyle w:val="2"/>
        <w:outlineLvl w:val="1"/>
        <w:jc w:val="center"/>
      </w:pPr>
      <w:r>
        <w:rPr>
          <w:sz w:val="20"/>
        </w:rPr>
        <w:t xml:space="preserve">VII. Промышленное строительство</w:t>
      </w:r>
    </w:p>
    <w:p>
      <w:pPr>
        <w:pStyle w:val="0"/>
        <w:jc w:val="both"/>
      </w:pPr>
      <w:r>
        <w:rPr>
          <w:sz w:val="20"/>
        </w:rPr>
      </w:r>
    </w:p>
    <w:p>
      <w:pPr>
        <w:pStyle w:val="0"/>
        <w:ind w:firstLine="540"/>
        <w:jc w:val="both"/>
      </w:pPr>
      <w:r>
        <w:rPr>
          <w:sz w:val="20"/>
        </w:rPr>
        <w:t xml:space="preserve">Формирование высокотехнологичной, конкурентоспособной промышленности способно обеспечить переход экономики государства от экспортно-сырьевого типа развития к инновационному. В связи с этим возникает необходимость координации планов отраслевого и промышленного развития Российской Федерации с политикой пространственного, территориального и градостроительного развития территорий субъектов, крупнейших городских агломераций, опорных пунктов и внеагломерационных территорий в целях нивелирования диспропорций в сложившейся схеме расселения и концентрации мест приложения труда, а также межрегиональной дифференциации уровня социально-экономического развития.</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различия по уровню обеспеченности субъектов Российской Федерации ресурсами для стимулирования промышленного роста;</w:t>
      </w:r>
    </w:p>
    <w:p>
      <w:pPr>
        <w:pStyle w:val="0"/>
        <w:spacing w:before="200" w:line-rule="auto"/>
        <w:ind w:firstLine="540"/>
        <w:jc w:val="both"/>
      </w:pPr>
      <w:r>
        <w:rPr>
          <w:sz w:val="20"/>
        </w:rPr>
        <w:t xml:space="preserve">ограничения использования земельных участков, устанавливаемые в соответствии с земельным и иным законодательством Российской Федерации;</w:t>
      </w:r>
    </w:p>
    <w:p>
      <w:pPr>
        <w:pStyle w:val="0"/>
        <w:spacing w:before="200" w:line-rule="auto"/>
        <w:ind w:firstLine="540"/>
        <w:jc w:val="both"/>
      </w:pPr>
      <w:r>
        <w:rPr>
          <w:sz w:val="20"/>
        </w:rPr>
        <w:t xml:space="preserve">существенные диспропорции в размещении региональной промышленной инфраструктуры, включающей в себя объекты недвижимого имущества, транспортной и коммунальной инфраструктур, необходимые для осуществления деятельности в сфере промышленности;</w:t>
      </w:r>
    </w:p>
    <w:p>
      <w:pPr>
        <w:pStyle w:val="0"/>
        <w:spacing w:before="200" w:line-rule="auto"/>
        <w:ind w:firstLine="540"/>
        <w:jc w:val="both"/>
      </w:pPr>
      <w:r>
        <w:rPr>
          <w:sz w:val="20"/>
        </w:rPr>
        <w:t xml:space="preserve">высокие издержки на создание и размещение промышленной инфраструктуры, избыточные требования и ограничения в строительстве приводят к увеличению стоимости и, соответственно, снижению конкурентоспособности продукции российской промышленности.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оценка территориально-отраслевого состояния и развития промышленности в целях определения заказа для строительной отрасли на развитие промышленной и связанной с ней инфраструктуры;</w:t>
      </w:r>
    </w:p>
    <w:p>
      <w:pPr>
        <w:pStyle w:val="0"/>
        <w:spacing w:before="200" w:line-rule="auto"/>
        <w:ind w:firstLine="540"/>
        <w:jc w:val="both"/>
      </w:pPr>
      <w:r>
        <w:rPr>
          <w:sz w:val="20"/>
        </w:rPr>
        <w:t xml:space="preserve">обеспечение условий для опережающего развития промышленной инфраструктуры;</w:t>
      </w:r>
    </w:p>
    <w:p>
      <w:pPr>
        <w:pStyle w:val="0"/>
        <w:spacing w:before="200" w:line-rule="auto"/>
        <w:ind w:firstLine="540"/>
        <w:jc w:val="both"/>
      </w:pPr>
      <w:r>
        <w:rPr>
          <w:sz w:val="20"/>
        </w:rPr>
        <w:t xml:space="preserve">координация реализации федеральных и региональных инфраструктурных проектов, формирующих спрос на промышленную продукцию;</w:t>
      </w:r>
    </w:p>
    <w:p>
      <w:pPr>
        <w:pStyle w:val="0"/>
        <w:spacing w:before="200" w:line-rule="auto"/>
        <w:ind w:firstLine="540"/>
        <w:jc w:val="both"/>
      </w:pPr>
      <w:r>
        <w:rPr>
          <w:sz w:val="20"/>
        </w:rPr>
        <w:t xml:space="preserve">содействие в создании системообразующих условий для реализации значимых инвестиционных проектов в приоритетных отраслях промышленности путем рационального пространственного планирования.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правовой базы технического регулирования в строительстве в части сокращения требований к созданию объектов промышленной инфраструктуры;</w:t>
      </w:r>
    </w:p>
    <w:p>
      <w:pPr>
        <w:pStyle w:val="0"/>
        <w:spacing w:before="200" w:line-rule="auto"/>
        <w:ind w:firstLine="540"/>
        <w:jc w:val="both"/>
      </w:pPr>
      <w:r>
        <w:rPr>
          <w:sz w:val="20"/>
        </w:rPr>
        <w:t xml:space="preserve">обеспечение синхронизации программ жилищного строительства, развития транспортной, социальной, коммунальной инфраструктур с мероприятиями федеральных и региональных программ промышленного развития;</w:t>
      </w:r>
    </w:p>
    <w:p>
      <w:pPr>
        <w:pStyle w:val="0"/>
        <w:spacing w:before="200" w:line-rule="auto"/>
        <w:ind w:firstLine="540"/>
        <w:jc w:val="both"/>
      </w:pPr>
      <w:r>
        <w:rPr>
          <w:sz w:val="20"/>
        </w:rPr>
        <w:t xml:space="preserve">организация разработки территориальных схем (мастер-планов) субъектов Российской Федерации и агломераций, обеспечивающих эффективное использование ресурсов и максимальную реализацию социально-экономического, промышленного, инвестиционного и инновационного потенциалов территорий;</w:t>
      </w:r>
    </w:p>
    <w:p>
      <w:pPr>
        <w:pStyle w:val="0"/>
        <w:spacing w:before="200" w:line-rule="auto"/>
        <w:ind w:firstLine="540"/>
        <w:jc w:val="both"/>
      </w:pPr>
      <w:r>
        <w:rPr>
          <w:sz w:val="20"/>
        </w:rPr>
        <w:t xml:space="preserve">совершенствование порядка размещения площадок с промышленной и технологической инфраструктурой.</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обеспечена синхронизация документов территориального планирования, градостроительного зонирования и документов по планировке территории с мероприятиями федеральных и региональных программ промышленного развития;</w:t>
      </w:r>
    </w:p>
    <w:p>
      <w:pPr>
        <w:pStyle w:val="0"/>
        <w:spacing w:before="200" w:line-rule="auto"/>
        <w:ind w:firstLine="540"/>
        <w:jc w:val="both"/>
      </w:pPr>
      <w:r>
        <w:rPr>
          <w:sz w:val="20"/>
        </w:rPr>
        <w:t xml:space="preserve">ликвидированы инфраструктурные ограничения для опережающего промышленного развития, создания новых высокотехнологичных производств, их обеспеченности необходимыми ресурсами;</w:t>
      </w:r>
    </w:p>
    <w:p>
      <w:pPr>
        <w:pStyle w:val="0"/>
        <w:spacing w:before="200" w:line-rule="auto"/>
        <w:ind w:firstLine="540"/>
        <w:jc w:val="both"/>
      </w:pPr>
      <w:r>
        <w:rPr>
          <w:sz w:val="20"/>
        </w:rPr>
        <w:t xml:space="preserve">сокращены затраты на строительство промышленных объектов.</w:t>
      </w:r>
    </w:p>
    <w:p>
      <w:pPr>
        <w:pStyle w:val="0"/>
        <w:jc w:val="both"/>
      </w:pPr>
      <w:r>
        <w:rPr>
          <w:sz w:val="20"/>
        </w:rPr>
      </w:r>
    </w:p>
    <w:p>
      <w:pPr>
        <w:pStyle w:val="2"/>
        <w:outlineLvl w:val="2"/>
        <w:jc w:val="center"/>
      </w:pPr>
      <w:r>
        <w:rPr>
          <w:sz w:val="20"/>
        </w:rPr>
        <w:t xml:space="preserve">Промышленность строительных материалов</w:t>
      </w:r>
    </w:p>
    <w:p>
      <w:pPr>
        <w:pStyle w:val="0"/>
        <w:jc w:val="both"/>
      </w:pPr>
      <w:r>
        <w:rPr>
          <w:sz w:val="20"/>
        </w:rPr>
      </w:r>
    </w:p>
    <w:p>
      <w:pPr>
        <w:pStyle w:val="0"/>
        <w:ind w:firstLine="540"/>
        <w:jc w:val="both"/>
      </w:pPr>
      <w:r>
        <w:rPr>
          <w:sz w:val="20"/>
        </w:rPr>
        <w:t xml:space="preserve">На сегодняшний день основными проблемами развития промышленности строительных материалов являются:</w:t>
      </w:r>
    </w:p>
    <w:p>
      <w:pPr>
        <w:pStyle w:val="0"/>
        <w:spacing w:before="200" w:line-rule="auto"/>
        <w:ind w:firstLine="540"/>
        <w:jc w:val="both"/>
      </w:pPr>
      <w:r>
        <w:rPr>
          <w:sz w:val="20"/>
        </w:rPr>
        <w:t xml:space="preserve">отсутствие консолидированной потребности по отраслевым направлениям строительства;</w:t>
      </w:r>
    </w:p>
    <w:p>
      <w:pPr>
        <w:pStyle w:val="0"/>
        <w:spacing w:before="200" w:line-rule="auto"/>
        <w:ind w:firstLine="540"/>
        <w:jc w:val="both"/>
      </w:pPr>
      <w:r>
        <w:rPr>
          <w:sz w:val="20"/>
        </w:rPr>
        <w:t xml:space="preserve">неравномерное размещение производств;</w:t>
      </w:r>
    </w:p>
    <w:p>
      <w:pPr>
        <w:pStyle w:val="0"/>
        <w:spacing w:before="200" w:line-rule="auto"/>
        <w:ind w:firstLine="540"/>
        <w:jc w:val="both"/>
      </w:pPr>
      <w:r>
        <w:rPr>
          <w:sz w:val="20"/>
        </w:rPr>
        <w:t xml:space="preserve">высокая стоимость продукции для потребителя с учетом стоимости доставки;</w:t>
      </w:r>
    </w:p>
    <w:p>
      <w:pPr>
        <w:pStyle w:val="0"/>
        <w:spacing w:before="200" w:line-rule="auto"/>
        <w:ind w:firstLine="540"/>
        <w:jc w:val="both"/>
      </w:pPr>
      <w:r>
        <w:rPr>
          <w:sz w:val="20"/>
        </w:rPr>
        <w:t xml:space="preserve">отсутствие (в редких случаях) российских аналогов продукции с требуемыми потребительскими свойствами и качествами, а также наличие случаев применения некачественных, фальсифицированных и контрафактных строительных материалов;</w:t>
      </w:r>
    </w:p>
    <w:p>
      <w:pPr>
        <w:pStyle w:val="0"/>
        <w:spacing w:before="200" w:line-rule="auto"/>
        <w:ind w:firstLine="540"/>
        <w:jc w:val="both"/>
      </w:pPr>
      <w:r>
        <w:rPr>
          <w:sz w:val="20"/>
        </w:rPr>
        <w:t xml:space="preserve">зависимость от импорта по материалам и оборудованию для отдельных категорий объектов составляет до 5 процентов - для массового жилищного строительства и объектов дорожной инфраструктуры, до 10 процентов - для административных зданий и инженерных сооружений, до 35 процентов - для промышленных объектов.</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отсутствие консолидированной потребности по отраслевым направлениям строительства (дорожное строительство, энергетика и т.д.);</w:t>
      </w:r>
    </w:p>
    <w:p>
      <w:pPr>
        <w:pStyle w:val="0"/>
        <w:spacing w:before="200" w:line-rule="auto"/>
        <w:ind w:firstLine="540"/>
        <w:jc w:val="both"/>
      </w:pPr>
      <w:r>
        <w:rPr>
          <w:sz w:val="20"/>
        </w:rPr>
        <w:t xml:space="preserve">неравномерное распределение загрузки предприятий - производителей строительных материалов по территории Российской Федерации;</w:t>
      </w:r>
    </w:p>
    <w:p>
      <w:pPr>
        <w:pStyle w:val="0"/>
        <w:spacing w:before="200" w:line-rule="auto"/>
        <w:ind w:firstLine="540"/>
        <w:jc w:val="both"/>
      </w:pPr>
      <w:r>
        <w:rPr>
          <w:sz w:val="20"/>
        </w:rPr>
        <w:t xml:space="preserve">ограничения или высокая стоимость транспортировки продукции;</w:t>
      </w:r>
    </w:p>
    <w:p>
      <w:pPr>
        <w:pStyle w:val="0"/>
        <w:spacing w:before="200" w:line-rule="auto"/>
        <w:ind w:firstLine="540"/>
        <w:jc w:val="both"/>
      </w:pPr>
      <w:r>
        <w:rPr>
          <w:sz w:val="20"/>
        </w:rPr>
        <w:t xml:space="preserve">необходимость замещения импортируемых строительных ресурсов, включая строительные материалы, оборудование, используемое для производства строительных ресурсов, строительные машины и механизмы;</w:t>
      </w:r>
    </w:p>
    <w:p>
      <w:pPr>
        <w:pStyle w:val="0"/>
        <w:spacing w:before="200" w:line-rule="auto"/>
        <w:ind w:firstLine="540"/>
        <w:jc w:val="both"/>
      </w:pPr>
      <w:r>
        <w:rPr>
          <w:sz w:val="20"/>
        </w:rPr>
        <w:t xml:space="preserve">отсутствие внутреннего спроса на инновационные и современные технологии и материалы;</w:t>
      </w:r>
    </w:p>
    <w:p>
      <w:pPr>
        <w:pStyle w:val="0"/>
        <w:spacing w:before="200" w:line-rule="auto"/>
        <w:ind w:firstLine="540"/>
        <w:jc w:val="both"/>
      </w:pPr>
      <w:r>
        <w:rPr>
          <w:sz w:val="20"/>
        </w:rPr>
        <w:t xml:space="preserve">наличие некачественных, фальсифицированных и контрафактных строительных материалов;</w:t>
      </w:r>
    </w:p>
    <w:p>
      <w:pPr>
        <w:pStyle w:val="0"/>
        <w:spacing w:before="200" w:line-rule="auto"/>
        <w:ind w:firstLine="540"/>
        <w:jc w:val="both"/>
      </w:pPr>
      <w:r>
        <w:rPr>
          <w:sz w:val="20"/>
        </w:rPr>
        <w:t xml:space="preserve">отсутствие или недоступность источников, содержащих достоверную информацию о результатах лабораторных испытаний каждой партии строительных материалов, изделий, результатов строительного контроля при осуществлении градостроительной деятельности;</w:t>
      </w:r>
    </w:p>
    <w:p>
      <w:pPr>
        <w:pStyle w:val="0"/>
        <w:spacing w:before="200" w:line-rule="auto"/>
        <w:ind w:firstLine="540"/>
        <w:jc w:val="both"/>
      </w:pPr>
      <w:r>
        <w:rPr>
          <w:sz w:val="20"/>
        </w:rPr>
        <w:t xml:space="preserve">отсутствие гарантии выполнения общих требований к безопасности зданий и сооружений в связи с недостоверностью результатов входного и строительного контроля строительных материалов, некомпетентностью органов, осуществлявших лабораторные испытания;</w:t>
      </w:r>
    </w:p>
    <w:p>
      <w:pPr>
        <w:pStyle w:val="0"/>
        <w:spacing w:before="200" w:line-rule="auto"/>
        <w:ind w:firstLine="540"/>
        <w:jc w:val="both"/>
      </w:pPr>
      <w:r>
        <w:rPr>
          <w:sz w:val="20"/>
        </w:rPr>
        <w:t xml:space="preserve">снижение эксплуатационных характеристик объектов капитального строительства, увеличение затрат на их содержание, эксплуатацию и ремонт;</w:t>
      </w:r>
    </w:p>
    <w:p>
      <w:pPr>
        <w:pStyle w:val="0"/>
        <w:spacing w:before="200" w:line-rule="auto"/>
        <w:ind w:firstLine="540"/>
        <w:jc w:val="both"/>
      </w:pPr>
      <w:r>
        <w:rPr>
          <w:sz w:val="20"/>
        </w:rPr>
        <w:t xml:space="preserve">нарушение прав потребителей из-за недостоверной информации о свойствах стройматериалов, использованных при строительстве объектов капитального строительства;</w:t>
      </w:r>
    </w:p>
    <w:p>
      <w:pPr>
        <w:pStyle w:val="0"/>
        <w:spacing w:before="200" w:line-rule="auto"/>
        <w:ind w:firstLine="540"/>
        <w:jc w:val="both"/>
      </w:pPr>
      <w:r>
        <w:rPr>
          <w:sz w:val="20"/>
        </w:rPr>
        <w:t xml:space="preserve">злоупотребление конкурентным преимуществом на рынке производителей материалов посредством снижения качества и цен на свою продукцию.</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формирование консолидированной потребности строительной отрасли в строительных материалах для обеспечения устойчивого и сбалансированного функционирования производителей строительных материалов;</w:t>
      </w:r>
    </w:p>
    <w:p>
      <w:pPr>
        <w:pStyle w:val="0"/>
        <w:spacing w:before="200" w:line-rule="auto"/>
        <w:ind w:firstLine="540"/>
        <w:jc w:val="both"/>
      </w:pPr>
      <w:r>
        <w:rPr>
          <w:sz w:val="20"/>
        </w:rPr>
        <w:t xml:space="preserve">обеспечение эффективного взаимодействия производителей и потребителей в части прогнозирования производственных возможностей и динамики цен на строительные материалы с учетом потребности строительной отрасли;</w:t>
      </w:r>
    </w:p>
    <w:p>
      <w:pPr>
        <w:pStyle w:val="0"/>
        <w:spacing w:before="200" w:line-rule="auto"/>
        <w:ind w:firstLine="540"/>
        <w:jc w:val="both"/>
      </w:pPr>
      <w:r>
        <w:rPr>
          <w:sz w:val="20"/>
        </w:rPr>
        <w:t xml:space="preserve">обеспечение условий для сокращения импорта строительных материалов, увеличения спроса на отечественные строительные материалы;</w:t>
      </w:r>
    </w:p>
    <w:p>
      <w:pPr>
        <w:pStyle w:val="0"/>
        <w:spacing w:before="200" w:line-rule="auto"/>
        <w:ind w:firstLine="540"/>
        <w:jc w:val="both"/>
      </w:pPr>
      <w:r>
        <w:rPr>
          <w:sz w:val="20"/>
        </w:rPr>
        <w:t xml:space="preserve">стимулирование применения инновационных и экологичных строительных материалов, включая алюминиевые, композитные и полимерные материалы;</w:t>
      </w:r>
    </w:p>
    <w:p>
      <w:pPr>
        <w:pStyle w:val="0"/>
        <w:spacing w:before="200" w:line-rule="auto"/>
        <w:ind w:firstLine="540"/>
        <w:jc w:val="both"/>
      </w:pPr>
      <w:r>
        <w:rPr>
          <w:sz w:val="20"/>
        </w:rPr>
        <w:t xml:space="preserve">обеспечение развития индустриального домостроения, в том числе технологий сборно-монолитного каркаса, блочно-модульного и деревянного домостроения;</w:t>
      </w:r>
    </w:p>
    <w:p>
      <w:pPr>
        <w:pStyle w:val="0"/>
        <w:spacing w:before="200" w:line-rule="auto"/>
        <w:ind w:firstLine="540"/>
        <w:jc w:val="both"/>
      </w:pPr>
      <w:r>
        <w:rPr>
          <w:sz w:val="20"/>
        </w:rPr>
        <w:t xml:space="preserve">обеспечение реализации механизмов поддержки развития производств строительных ресурсов по приоритетным направлениям, в том числе в рамках импортозамещения;</w:t>
      </w:r>
    </w:p>
    <w:p>
      <w:pPr>
        <w:pStyle w:val="0"/>
        <w:spacing w:before="200" w:line-rule="auto"/>
        <w:ind w:firstLine="540"/>
        <w:jc w:val="both"/>
      </w:pPr>
      <w:r>
        <w:rPr>
          <w:sz w:val="20"/>
        </w:rPr>
        <w:t xml:space="preserve">обеспечение значительного сокращения некачественных, фальсифицированных и контрафактных строительных материалов и изделий, используемых при возведении и эксплуатации зданий и сооружений;</w:t>
      </w:r>
    </w:p>
    <w:p>
      <w:pPr>
        <w:pStyle w:val="0"/>
        <w:spacing w:before="200" w:line-rule="auto"/>
        <w:ind w:firstLine="540"/>
        <w:jc w:val="both"/>
      </w:pPr>
      <w:r>
        <w:rPr>
          <w:sz w:val="20"/>
        </w:rPr>
        <w:t xml:space="preserve">обеспечение идентификации и прослеживаемости каждой партии строительных материалов и изделий, результатов лабораторных исследований при проведении контроля;</w:t>
      </w:r>
    </w:p>
    <w:p>
      <w:pPr>
        <w:pStyle w:val="0"/>
        <w:spacing w:before="200" w:line-rule="auto"/>
        <w:ind w:firstLine="540"/>
        <w:jc w:val="both"/>
      </w:pPr>
      <w:r>
        <w:rPr>
          <w:sz w:val="20"/>
        </w:rPr>
        <w:t xml:space="preserve">обеспечение доступности и достоверности результатов лабораторных исследований и контроля, осуществляемых специализированными организациями, обладающими подтвержденными компетенциями и полномочиями на проведение такой деятельности.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консолидация потребности строительных материалов по отраслевым направлениям строительства;</w:t>
      </w:r>
    </w:p>
    <w:p>
      <w:pPr>
        <w:pStyle w:val="0"/>
        <w:spacing w:before="200" w:line-rule="auto"/>
        <w:ind w:firstLine="540"/>
        <w:jc w:val="both"/>
      </w:pPr>
      <w:r>
        <w:rPr>
          <w:sz w:val="20"/>
        </w:rPr>
        <w:t xml:space="preserve">включение в план мероприятий по реализации национальных проектов технологий индустриального домостроения (сборно-монолитного каркаса, блочно-модульного строительства, деревянного домостроения), использование современных строительных материалов, включая алюминиевые, композитные и полимерные, а также полученные за счет вторичной переработки сырья или отходов строительства и сноса;</w:t>
      </w:r>
    </w:p>
    <w:p>
      <w:pPr>
        <w:pStyle w:val="0"/>
        <w:spacing w:before="200" w:line-rule="auto"/>
        <w:ind w:firstLine="540"/>
        <w:jc w:val="both"/>
      </w:pPr>
      <w:r>
        <w:rPr>
          <w:sz w:val="20"/>
        </w:rPr>
        <w:t xml:space="preserve">разработка мастер-плана по взаимоувязке размещения производств строительных материалов по их группам для снижения транспортных расходов на доставку от места производства к месту строительства;</w:t>
      </w:r>
    </w:p>
    <w:p>
      <w:pPr>
        <w:pStyle w:val="0"/>
        <w:spacing w:before="200" w:line-rule="auto"/>
        <w:ind w:firstLine="540"/>
        <w:jc w:val="both"/>
      </w:pPr>
      <w:r>
        <w:rPr>
          <w:sz w:val="20"/>
        </w:rPr>
        <w:t xml:space="preserve">повышение эффективности системы обязательного подтверждения соответствия установленным требованиям строительных материалов и изделий;</w:t>
      </w:r>
    </w:p>
    <w:p>
      <w:pPr>
        <w:pStyle w:val="0"/>
        <w:spacing w:before="200" w:line-rule="auto"/>
        <w:ind w:firstLine="540"/>
        <w:jc w:val="both"/>
      </w:pPr>
      <w:r>
        <w:rPr>
          <w:sz w:val="20"/>
        </w:rPr>
        <w:t xml:space="preserve">обеспечение маркетинговой и информационной поддержки производителей инновационных строительных материалов;</w:t>
      </w:r>
    </w:p>
    <w:p>
      <w:pPr>
        <w:pStyle w:val="0"/>
        <w:spacing w:before="200" w:line-rule="auto"/>
        <w:ind w:firstLine="540"/>
        <w:jc w:val="both"/>
      </w:pPr>
      <w:r>
        <w:rPr>
          <w:sz w:val="20"/>
        </w:rPr>
        <w:t xml:space="preserve">совершенствование норм и требований для внедрения и применения инновационных технологий и строительных материалов;</w:t>
      </w:r>
    </w:p>
    <w:p>
      <w:pPr>
        <w:pStyle w:val="0"/>
        <w:spacing w:before="200" w:line-rule="auto"/>
        <w:ind w:firstLine="540"/>
        <w:jc w:val="both"/>
      </w:pPr>
      <w:r>
        <w:rPr>
          <w:sz w:val="20"/>
        </w:rPr>
        <w:t xml:space="preserve">поддержка импортозамещения технологического оборудования, запчастей и комплектующих к нему для производства строительных материалов;</w:t>
      </w:r>
    </w:p>
    <w:p>
      <w:pPr>
        <w:pStyle w:val="0"/>
        <w:spacing w:before="200" w:line-rule="auto"/>
        <w:ind w:firstLine="540"/>
        <w:jc w:val="both"/>
      </w:pPr>
      <w:r>
        <w:rPr>
          <w:sz w:val="20"/>
        </w:rPr>
        <w:t xml:space="preserve">создание системы допуска и контроля деятельности строительных лабораторий, проводящих исследования при производстве материалов и изделий, используемых в процессе строительства, эксплуатации и утилизации (сносе) зданий и сооружений, а также осуществляющих исследования при проведении входного контроля, строительного контроля и строительного надзора;</w:t>
      </w:r>
    </w:p>
    <w:p>
      <w:pPr>
        <w:pStyle w:val="0"/>
        <w:spacing w:before="200" w:line-rule="auto"/>
        <w:ind w:firstLine="540"/>
        <w:jc w:val="both"/>
      </w:pPr>
      <w:r>
        <w:rPr>
          <w:sz w:val="20"/>
        </w:rPr>
        <w:t xml:space="preserve">создание системы уникальной цифровой маркировки строительных материалов и изделий, используемой для проведения контроля (надзора);</w:t>
      </w:r>
    </w:p>
    <w:p>
      <w:pPr>
        <w:pStyle w:val="0"/>
        <w:spacing w:before="200" w:line-rule="auto"/>
        <w:ind w:firstLine="540"/>
        <w:jc w:val="both"/>
      </w:pPr>
      <w:r>
        <w:rPr>
          <w:sz w:val="20"/>
        </w:rPr>
        <w:t xml:space="preserve">обеспечение интеграции результатов строительного контроля, цифровой маркировки с информационной моделью объекта капитального строительства в составе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производство основных строительных материалов сбалансировано между субъектами Российской Федерации с учетом фактической потребности в них предприятий строительной отрасли;</w:t>
      </w:r>
    </w:p>
    <w:p>
      <w:pPr>
        <w:pStyle w:val="0"/>
        <w:spacing w:before="200" w:line-rule="auto"/>
        <w:ind w:firstLine="540"/>
        <w:jc w:val="both"/>
      </w:pPr>
      <w:r>
        <w:rPr>
          <w:sz w:val="20"/>
        </w:rPr>
        <w:t xml:space="preserve">снижена зависимость от импорта строительных материалов, в первую очередь обозначенных в качестве приоритетных для импортозамещения, а также оборудования, используемого при производстве строительных материалов;</w:t>
      </w:r>
    </w:p>
    <w:p>
      <w:pPr>
        <w:pStyle w:val="0"/>
        <w:spacing w:before="200" w:line-rule="auto"/>
        <w:ind w:firstLine="540"/>
        <w:jc w:val="both"/>
      </w:pPr>
      <w:r>
        <w:rPr>
          <w:sz w:val="20"/>
        </w:rPr>
        <w:t xml:space="preserve">увеличены объемы потребления и, как следствие, производства продукции индустриального домостроения (элементов сборного каркаса, блочно-модульного домостроения), конструкций из перекрестно клееной древесины, а также современных алюминиевых, композитных и полимерных материалов;</w:t>
      </w:r>
    </w:p>
    <w:p>
      <w:pPr>
        <w:pStyle w:val="0"/>
        <w:spacing w:before="200" w:line-rule="auto"/>
        <w:ind w:firstLine="540"/>
        <w:jc w:val="both"/>
      </w:pPr>
      <w:r>
        <w:rPr>
          <w:sz w:val="20"/>
        </w:rPr>
        <w:t xml:space="preserve">внедрена система допуска и контроля деятельности строительных лабораторий в целях обеспечения надлежащих компетенций строительных лабораторий, квалификации персонала, выполняющего исследования (испытания), качества проводимых исследований (испытаний) и допуска строительных лабораторий к проведению исследований (испытаний) при осуществлении входного контроля, строительного контроля и строительного надзора;</w:t>
      </w:r>
    </w:p>
    <w:p>
      <w:pPr>
        <w:pStyle w:val="0"/>
        <w:spacing w:before="200" w:line-rule="auto"/>
        <w:ind w:firstLine="540"/>
        <w:jc w:val="both"/>
      </w:pPr>
      <w:r>
        <w:rPr>
          <w:sz w:val="20"/>
        </w:rPr>
        <w:t xml:space="preserve">система допуска и контроля деятельности строительных лабораторий обеспечивает достоверность результатов испытаний при производстве строительных материалов, проведении строительного контроля и строительного надзора;</w:t>
      </w:r>
    </w:p>
    <w:p>
      <w:pPr>
        <w:pStyle w:val="0"/>
        <w:spacing w:before="200" w:line-rule="auto"/>
        <w:ind w:firstLine="540"/>
        <w:jc w:val="both"/>
      </w:pPr>
      <w:r>
        <w:rPr>
          <w:sz w:val="20"/>
        </w:rPr>
        <w:t xml:space="preserve">введена ответственность за предоставление недостоверных сведений о результатах испытаний для всех типов строительных лабораторий;</w:t>
      </w:r>
    </w:p>
    <w:p>
      <w:pPr>
        <w:pStyle w:val="0"/>
        <w:spacing w:before="200" w:line-rule="auto"/>
        <w:ind w:firstLine="540"/>
        <w:jc w:val="both"/>
      </w:pPr>
      <w:r>
        <w:rPr>
          <w:sz w:val="20"/>
        </w:rPr>
        <w:t xml:space="preserve">снижено количество применяемых в строительстве некачественных, фальсифицированных и контрафактных строительных материалов и изделий;</w:t>
      </w:r>
    </w:p>
    <w:p>
      <w:pPr>
        <w:pStyle w:val="0"/>
        <w:spacing w:before="200" w:line-rule="auto"/>
        <w:ind w:firstLine="540"/>
        <w:jc w:val="both"/>
      </w:pPr>
      <w:r>
        <w:rPr>
          <w:sz w:val="20"/>
        </w:rPr>
        <w:t xml:space="preserve">строительные материалы и изделия однозначно идентифицированы на всех этапах жизненного цикла (от производства до утилизации);</w:t>
      </w:r>
    </w:p>
    <w:p>
      <w:pPr>
        <w:pStyle w:val="0"/>
        <w:spacing w:before="200" w:line-rule="auto"/>
        <w:ind w:firstLine="540"/>
        <w:jc w:val="both"/>
      </w:pPr>
      <w:r>
        <w:rPr>
          <w:sz w:val="20"/>
        </w:rPr>
        <w:t xml:space="preserve">создана доступная информационная цифровая среда для получения достоверной информации о проведенных испытаниях строительных материалов и изделий и их результатах для каждого объекта капитального строительства;</w:t>
      </w:r>
    </w:p>
    <w:p>
      <w:pPr>
        <w:pStyle w:val="0"/>
        <w:spacing w:before="200" w:line-rule="auto"/>
        <w:ind w:firstLine="540"/>
        <w:jc w:val="both"/>
      </w:pPr>
      <w:r>
        <w:rPr>
          <w:sz w:val="20"/>
        </w:rPr>
        <w:t xml:space="preserve">создан конкурентный рынок строительных материалов по качественным, а не ценовым признакам.</w:t>
      </w:r>
    </w:p>
    <w:p>
      <w:pPr>
        <w:pStyle w:val="0"/>
        <w:jc w:val="both"/>
      </w:pPr>
      <w:r>
        <w:rPr>
          <w:sz w:val="20"/>
        </w:rPr>
      </w:r>
    </w:p>
    <w:p>
      <w:pPr>
        <w:pStyle w:val="2"/>
        <w:outlineLvl w:val="2"/>
        <w:jc w:val="center"/>
      </w:pPr>
      <w:r>
        <w:rPr>
          <w:sz w:val="20"/>
        </w:rPr>
        <w:t xml:space="preserve">Экспорт строительных услуг</w:t>
      </w:r>
    </w:p>
    <w:p>
      <w:pPr>
        <w:pStyle w:val="0"/>
        <w:jc w:val="both"/>
      </w:pPr>
      <w:r>
        <w:rPr>
          <w:sz w:val="20"/>
        </w:rPr>
      </w:r>
    </w:p>
    <w:p>
      <w:pPr>
        <w:pStyle w:val="0"/>
        <w:ind w:firstLine="540"/>
        <w:jc w:val="both"/>
      </w:pPr>
      <w:r>
        <w:rPr>
          <w:sz w:val="20"/>
        </w:rPr>
        <w:t xml:space="preserve">Объем российского экспорта строительных услуг по итогам 2021 года составил 5,76 млрд. долларов США, что на 22,6 процента выше уровня 2020 года. Значительный прирост экспорта обусловлен восстановлением экономической активности и снятием ограничений, введенных в период распространения новой коронавирусной инфекции.</w:t>
      </w:r>
    </w:p>
    <w:p>
      <w:pPr>
        <w:pStyle w:val="0"/>
        <w:spacing w:before="200" w:line-rule="auto"/>
        <w:ind w:firstLine="540"/>
        <w:jc w:val="both"/>
      </w:pPr>
      <w:r>
        <w:rPr>
          <w:sz w:val="20"/>
        </w:rPr>
        <w:t xml:space="preserve">В экспорте российских строительных услуг преобладают услуги, оказываемые зарубежным подрядчикам по строительству объектов на территории Российской Федерации. На их долю в 2021 году приходится 55,3 процента экспорта, что на 3,9 процентных пункта меньше, чем по итогам 2020 года.</w:t>
      </w:r>
    </w:p>
    <w:p>
      <w:pPr>
        <w:pStyle w:val="0"/>
        <w:spacing w:before="200" w:line-rule="auto"/>
        <w:ind w:firstLine="540"/>
        <w:jc w:val="both"/>
      </w:pPr>
      <w:r>
        <w:rPr>
          <w:sz w:val="20"/>
        </w:rPr>
        <w:t xml:space="preserve">Наиболее перспективными (базовыми) направлениями в российском экспорте строительных услуг продолжают оставаться строительство атомных электростанций, оказание комплекса услуг по строительству инфраструктурных объектов (энергетических, транспортных, производственных), участие в реализации инфраструктурных проектов на евразийском пространстве.</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значительные барьеры выхода на зарубежные рынки строительных услуг, различия строительных правил и норм, производственных стандартов, ограничения на длительное пребывание, перемещение персонала;</w:t>
      </w:r>
    </w:p>
    <w:p>
      <w:pPr>
        <w:pStyle w:val="0"/>
        <w:spacing w:before="200" w:line-rule="auto"/>
        <w:ind w:firstLine="540"/>
        <w:jc w:val="both"/>
      </w:pPr>
      <w:r>
        <w:rPr>
          <w:sz w:val="20"/>
        </w:rPr>
        <w:t xml:space="preserve">слабая видовая диверсификация строительных услуг и снижающаяся ценовая конкурентоспособность российских поставщиков;</w:t>
      </w:r>
    </w:p>
    <w:p>
      <w:pPr>
        <w:pStyle w:val="0"/>
        <w:spacing w:before="200" w:line-rule="auto"/>
        <w:ind w:firstLine="540"/>
        <w:jc w:val="both"/>
      </w:pPr>
      <w:r>
        <w:rPr>
          <w:sz w:val="20"/>
        </w:rPr>
        <w:t xml:space="preserve">высокая степень зарегулированности отрасли оказывает негативное влияние на конкурентоспособность и экспортный потенциал строительных компаний;</w:t>
      </w:r>
    </w:p>
    <w:p>
      <w:pPr>
        <w:pStyle w:val="0"/>
        <w:spacing w:before="200" w:line-rule="auto"/>
        <w:ind w:firstLine="540"/>
        <w:jc w:val="both"/>
      </w:pPr>
      <w:r>
        <w:rPr>
          <w:sz w:val="20"/>
        </w:rPr>
        <w:t xml:space="preserve">отсутствие эффективного продвижения строительных и инжиниринговых услуг российских подрядных организаций и специалистов при реализации крупных инфраструктурных проектов за рубежом.</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поддержка развития технологических разработок в сфере строительства и инжиниринга, повышающих конкурентоспособность на зарубежных рынках;</w:t>
      </w:r>
    </w:p>
    <w:p>
      <w:pPr>
        <w:pStyle w:val="0"/>
        <w:spacing w:before="200" w:line-rule="auto"/>
        <w:ind w:firstLine="540"/>
        <w:jc w:val="both"/>
      </w:pPr>
      <w:r>
        <w:rPr>
          <w:sz w:val="20"/>
        </w:rPr>
        <w:t xml:space="preserve">создание условий для сотрудничества крупных строительных компаний и компаний малого и среднего предпринимательства;</w:t>
      </w:r>
    </w:p>
    <w:p>
      <w:pPr>
        <w:pStyle w:val="0"/>
        <w:spacing w:before="200" w:line-rule="auto"/>
        <w:ind w:firstLine="540"/>
        <w:jc w:val="both"/>
      </w:pPr>
      <w:r>
        <w:rPr>
          <w:sz w:val="20"/>
        </w:rPr>
        <w:t xml:space="preserve">создание благоприятного режима для привлечения российских субподрядчиков, поставщиков строительных товаров, услуг и технологий, в том числе из сферы малого и среднего предпринимательства, к реализации проектов флагманских отечественных компаний за рубежом.</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включение в контракты на строительство объектов за рубежом условий дальнейшего их технического обслуживания российскими специалистами;</w:t>
      </w:r>
    </w:p>
    <w:p>
      <w:pPr>
        <w:pStyle w:val="0"/>
        <w:spacing w:before="200" w:line-rule="auto"/>
        <w:ind w:firstLine="540"/>
        <w:jc w:val="both"/>
      </w:pPr>
      <w:r>
        <w:rPr>
          <w:sz w:val="20"/>
        </w:rPr>
        <w:t xml:space="preserve">проработка механизмов включения субъектов малого и среднего предпринимательства в технологические цепочки зарубежных компаний и лидеров российского рынка, работающих за рубежом;</w:t>
      </w:r>
    </w:p>
    <w:p>
      <w:pPr>
        <w:pStyle w:val="0"/>
        <w:spacing w:before="200" w:line-rule="auto"/>
        <w:ind w:firstLine="540"/>
        <w:jc w:val="both"/>
      </w:pPr>
      <w:r>
        <w:rPr>
          <w:sz w:val="20"/>
        </w:rPr>
        <w:t xml:space="preserve">разработка и внедрение механизмов включения в межгосударственные соглашения на строительство сложных объектов (атомные, нефтегазовые, космические, гидрологические и другие) условий об их комплексном решении, включающем строительство гражданских и различных обеспечивающих инженерных объектов и объектов инфраструктуры силами операторов таких соглашений и их подрядными организациями;</w:t>
      </w:r>
    </w:p>
    <w:p>
      <w:pPr>
        <w:pStyle w:val="0"/>
        <w:spacing w:before="200" w:line-rule="auto"/>
        <w:ind w:firstLine="540"/>
        <w:jc w:val="both"/>
      </w:pPr>
      <w:r>
        <w:rPr>
          <w:sz w:val="20"/>
        </w:rPr>
        <w:t xml:space="preserve">гармонизация технических стандартов и регулирования со странами Евразийского экономического союза, Шанхайской организации сотрудничества, БРИКС и другими;</w:t>
      </w:r>
    </w:p>
    <w:p>
      <w:pPr>
        <w:pStyle w:val="0"/>
        <w:spacing w:before="200" w:line-rule="auto"/>
        <w:ind w:firstLine="540"/>
        <w:jc w:val="both"/>
      </w:pPr>
      <w:r>
        <w:rPr>
          <w:sz w:val="20"/>
        </w:rPr>
        <w:t xml:space="preserve">формирование регулярно обновляемого реестра тендеров иностранных инфраструктурных проектов.</w:t>
      </w:r>
    </w:p>
    <w:p>
      <w:pPr>
        <w:pStyle w:val="0"/>
        <w:spacing w:before="200" w:line-rule="auto"/>
        <w:ind w:firstLine="540"/>
        <w:jc w:val="both"/>
      </w:pPr>
      <w:r>
        <w:rPr>
          <w:sz w:val="20"/>
        </w:rPr>
        <w:t xml:space="preserve">Результатами осуществления вышеуказанных мероприятий являются:</w:t>
      </w:r>
    </w:p>
    <w:p>
      <w:pPr>
        <w:pStyle w:val="0"/>
        <w:spacing w:before="200" w:line-rule="auto"/>
        <w:ind w:firstLine="540"/>
        <w:jc w:val="both"/>
      </w:pPr>
      <w:r>
        <w:rPr>
          <w:sz w:val="20"/>
        </w:rPr>
        <w:t xml:space="preserve">повышена конкурентоспособность отечественных компаний за рубежом;</w:t>
      </w:r>
    </w:p>
    <w:p>
      <w:pPr>
        <w:pStyle w:val="0"/>
        <w:spacing w:before="200" w:line-rule="auto"/>
        <w:ind w:firstLine="540"/>
        <w:jc w:val="both"/>
      </w:pPr>
      <w:r>
        <w:rPr>
          <w:sz w:val="20"/>
        </w:rPr>
        <w:t xml:space="preserve">созданы системообразующие условия для увеличения экспортного потенциала отрасли и увеличения количества экспортно ориентированных компаний;</w:t>
      </w:r>
    </w:p>
    <w:p>
      <w:pPr>
        <w:pStyle w:val="0"/>
        <w:spacing w:before="200" w:line-rule="auto"/>
        <w:ind w:firstLine="540"/>
        <w:jc w:val="both"/>
      </w:pPr>
      <w:r>
        <w:rPr>
          <w:sz w:val="20"/>
        </w:rPr>
        <w:t xml:space="preserve">созданы условия для развития технологических разработок в сфере строительства и инжиниринга, повышающих конкурентоспособность отечественных компаний на зарубежных рынках.</w:t>
      </w:r>
    </w:p>
    <w:p>
      <w:pPr>
        <w:pStyle w:val="0"/>
        <w:jc w:val="both"/>
      </w:pPr>
      <w:r>
        <w:rPr>
          <w:sz w:val="20"/>
        </w:rPr>
      </w:r>
    </w:p>
    <w:p>
      <w:pPr>
        <w:pStyle w:val="2"/>
        <w:outlineLvl w:val="1"/>
        <w:jc w:val="center"/>
      </w:pPr>
      <w:r>
        <w:rPr>
          <w:sz w:val="20"/>
        </w:rPr>
        <w:t xml:space="preserve">VIII. Развитие и модернизация транспортной инфраструктуры</w:t>
      </w:r>
    </w:p>
    <w:p>
      <w:pPr>
        <w:pStyle w:val="0"/>
        <w:jc w:val="both"/>
      </w:pPr>
      <w:r>
        <w:rPr>
          <w:sz w:val="20"/>
        </w:rPr>
      </w:r>
    </w:p>
    <w:p>
      <w:pPr>
        <w:pStyle w:val="0"/>
        <w:ind w:firstLine="540"/>
        <w:jc w:val="both"/>
      </w:pPr>
      <w:r>
        <w:rPr>
          <w:sz w:val="20"/>
        </w:rPr>
        <w:t xml:space="preserve">В рамках Транспортной </w:t>
      </w:r>
      <w:hyperlink w:history="0" r:id="rId60" w:tooltip="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
        <w:r>
          <w:rPr>
            <w:sz w:val="20"/>
            <w:color w:val="0000ff"/>
          </w:rPr>
          <w:t xml:space="preserve">стратегии</w:t>
        </w:r>
      </w:hyperlink>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 поставлена задача до 2024 года привести в нормативное состояние не менее 85 процентов дорожной сети городских агломераций, не менее 50,9 процента автомобильных дорог регионального и межмуниципального значения.</w:t>
      </w:r>
    </w:p>
    <w:p>
      <w:pPr>
        <w:pStyle w:val="0"/>
        <w:spacing w:before="200" w:line-rule="auto"/>
        <w:ind w:firstLine="540"/>
        <w:jc w:val="both"/>
      </w:pPr>
      <w:r>
        <w:rPr>
          <w:sz w:val="20"/>
        </w:rPr>
        <w:t xml:space="preserve">В целях обеспечения единого транспортного пространства и выделения приоритетных элементов транспортной сети Российской Федерации, их развития и поддержания в нормативном состоянии сформирована Единая опорная транспортная сеть Российской Федерации.</w:t>
      </w:r>
    </w:p>
    <w:p>
      <w:pPr>
        <w:pStyle w:val="0"/>
        <w:spacing w:before="200" w:line-rule="auto"/>
        <w:ind w:firstLine="540"/>
        <w:jc w:val="both"/>
      </w:pPr>
      <w:r>
        <w:rPr>
          <w:sz w:val="20"/>
        </w:rPr>
        <w:t xml:space="preserve">Повышение качества жизни граждан, удовлетворение растущих потребностей населения и бизнеса, укрепление территориальной целостности и обеспечение доступности территорий существенно зависят не только от развития транспортной инфраструктуры, но и от формирования устойчивых сбалансированных систем транспортного обслуживания населения.</w:t>
      </w:r>
    </w:p>
    <w:p>
      <w:pPr>
        <w:pStyle w:val="0"/>
        <w:spacing w:before="200" w:line-rule="auto"/>
        <w:ind w:firstLine="540"/>
        <w:jc w:val="both"/>
      </w:pPr>
      <w:r>
        <w:rPr>
          <w:sz w:val="20"/>
        </w:rPr>
        <w:t xml:space="preserve">С ростом количества личных автомобилей в городах мобильность населения снижается. Очевидным решением данной проблемы является развитие общественного транспорта, повышение качества транспортного обслуживания населения в городах. На это направлен единый проект развития общественного транспорта и обеспечивающей инфраструктуры, мероприятия которого также должны быть синхронизированы с жилищным строительством и развитием территорий.</w:t>
      </w:r>
    </w:p>
    <w:p>
      <w:pPr>
        <w:pStyle w:val="0"/>
        <w:spacing w:before="200" w:line-rule="auto"/>
        <w:ind w:firstLine="540"/>
        <w:jc w:val="both"/>
      </w:pPr>
      <w:r>
        <w:rPr>
          <w:sz w:val="20"/>
        </w:rPr>
        <w:t xml:space="preserve">Вместе с тем существует ряд ограничений, сдерживающих развитие транспортного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устаревшая нормативно-техническая база, препятствующая внедрению инновационных технологий и материалов;</w:t>
      </w:r>
    </w:p>
    <w:p>
      <w:pPr>
        <w:pStyle w:val="0"/>
        <w:spacing w:before="200" w:line-rule="auto"/>
        <w:ind w:firstLine="540"/>
        <w:jc w:val="both"/>
      </w:pPr>
      <w:r>
        <w:rPr>
          <w:sz w:val="20"/>
        </w:rPr>
        <w:t xml:space="preserve">отсутствие единого подхода в планировании развития объектов транспортной инфраструктуры, что создает неопределенность для строительных компаний и препятствует долгосрочному планированию;</w:t>
      </w:r>
    </w:p>
    <w:p>
      <w:pPr>
        <w:pStyle w:val="0"/>
        <w:spacing w:before="200" w:line-rule="auto"/>
        <w:ind w:firstLine="540"/>
        <w:jc w:val="both"/>
      </w:pPr>
      <w:r>
        <w:rPr>
          <w:sz w:val="20"/>
        </w:rPr>
        <w:t xml:space="preserve">высокая доля импортной строительно-дорожной техники.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анализ цепочек поставок строительных материалов с целью выявления узких мест и содействия их преодолению;</w:t>
      </w:r>
    </w:p>
    <w:p>
      <w:pPr>
        <w:pStyle w:val="0"/>
        <w:spacing w:before="200" w:line-rule="auto"/>
        <w:ind w:firstLine="540"/>
        <w:jc w:val="both"/>
      </w:pPr>
      <w:r>
        <w:rPr>
          <w:sz w:val="20"/>
        </w:rPr>
        <w:t xml:space="preserve">формирование долгосрочного прогноза спроса на строительные услуги на базе сформированных в соответствии с Транспортной </w:t>
      </w:r>
      <w:hyperlink w:history="0" r:id="rId61" w:tooltip="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
        <w:r>
          <w:rPr>
            <w:sz w:val="20"/>
            <w:color w:val="0000ff"/>
          </w:rPr>
          <w:t xml:space="preserve">стратегией</w:t>
        </w:r>
      </w:hyperlink>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 долгосрочных планов реализации транспортных проектов.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оптимизация нормативной правовой базы для проектирования и строительства объектов транспортной инфраструктуры;</w:t>
      </w:r>
    </w:p>
    <w:p>
      <w:pPr>
        <w:pStyle w:val="0"/>
        <w:spacing w:before="200" w:line-rule="auto"/>
        <w:ind w:firstLine="540"/>
        <w:jc w:val="both"/>
      </w:pPr>
      <w:r>
        <w:rPr>
          <w:sz w:val="20"/>
        </w:rPr>
        <w:t xml:space="preserve">содействие развитию, созданию новых производств отечественной дорожно-строительной техники;</w:t>
      </w:r>
    </w:p>
    <w:p>
      <w:pPr>
        <w:pStyle w:val="0"/>
        <w:spacing w:before="200" w:line-rule="auto"/>
        <w:ind w:firstLine="540"/>
        <w:jc w:val="both"/>
      </w:pPr>
      <w:r>
        <w:rPr>
          <w:sz w:val="20"/>
        </w:rPr>
        <w:t xml:space="preserve">мониторинг имеющихся мощностей строительных компаний, строительной техники, объемов строительных материалов для планирования максимального объема строительства и определения необходимости в развитии дополнительных мощностей строительной отрасли.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развитие транспортной отрасли для достижения целевых показателей экономического роста в строительной отрасли;</w:t>
      </w:r>
    </w:p>
    <w:p>
      <w:pPr>
        <w:pStyle w:val="0"/>
        <w:spacing w:before="200" w:line-rule="auto"/>
        <w:ind w:firstLine="540"/>
        <w:jc w:val="both"/>
      </w:pPr>
      <w:r>
        <w:rPr>
          <w:sz w:val="20"/>
        </w:rPr>
        <w:t xml:space="preserve">увеличен объем инвестиций в строительные компании, работающие в сфере транспортной инфраструктуры;</w:t>
      </w:r>
    </w:p>
    <w:p>
      <w:pPr>
        <w:pStyle w:val="0"/>
        <w:spacing w:before="200" w:line-rule="auto"/>
        <w:ind w:firstLine="540"/>
        <w:jc w:val="both"/>
      </w:pPr>
      <w:r>
        <w:rPr>
          <w:sz w:val="20"/>
        </w:rPr>
        <w:t xml:space="preserve">достаточность материальных ресурсов, повышена производительность труда, снижены издержки строительства объектов транспортной инфраструктуры.</w:t>
      </w:r>
    </w:p>
    <w:p>
      <w:pPr>
        <w:pStyle w:val="0"/>
        <w:jc w:val="both"/>
      </w:pPr>
      <w:r>
        <w:rPr>
          <w:sz w:val="20"/>
        </w:rPr>
      </w:r>
    </w:p>
    <w:p>
      <w:pPr>
        <w:pStyle w:val="2"/>
        <w:outlineLvl w:val="1"/>
        <w:jc w:val="center"/>
      </w:pPr>
      <w:r>
        <w:rPr>
          <w:sz w:val="20"/>
        </w:rPr>
        <w:t xml:space="preserve">IX. Климатическая повестка в отрасли строительства</w:t>
      </w:r>
    </w:p>
    <w:p>
      <w:pPr>
        <w:pStyle w:val="2"/>
        <w:jc w:val="center"/>
      </w:pPr>
      <w:r>
        <w:rPr>
          <w:sz w:val="20"/>
        </w:rPr>
        <w:t xml:space="preserve">и жилищно-коммунальном хозяйстве</w:t>
      </w:r>
    </w:p>
    <w:p>
      <w:pPr>
        <w:pStyle w:val="0"/>
        <w:jc w:val="both"/>
      </w:pPr>
      <w:r>
        <w:rPr>
          <w:sz w:val="20"/>
        </w:rPr>
      </w:r>
    </w:p>
    <w:p>
      <w:pPr>
        <w:pStyle w:val="0"/>
        <w:ind w:firstLine="540"/>
        <w:jc w:val="both"/>
      </w:pPr>
      <w:r>
        <w:rPr>
          <w:sz w:val="20"/>
        </w:rPr>
        <w:t xml:space="preserve">Изменение климата в Российской Федерации характеризуется ростом среднегодовых температур во всех физико-географических регионах и федеральных округах. Годовые суммы осадков возросли на Европейской территории и в Центральной Сибири. По данным спутниковых наблюдений, площадь снежного покрова в переходные сезоны года уменьшается.</w:t>
      </w:r>
    </w:p>
    <w:p>
      <w:pPr>
        <w:pStyle w:val="0"/>
        <w:spacing w:before="200" w:line-rule="auto"/>
        <w:ind w:firstLine="540"/>
        <w:jc w:val="both"/>
      </w:pPr>
      <w:r>
        <w:rPr>
          <w:sz w:val="20"/>
        </w:rPr>
        <w:t xml:space="preserve">По данным Всемирного банка, ежегодный ущерб от воздействия опасных гидрометеорологических явлений в России составляет 30 - 60 млрд. рублей (не менее 0,05 процента валового внутреннего продукта). Поэтому адаптация к последствиям изменения климата и противодействие климатическим изменениям являются приоритетными задачами для российской экономики в целом.</w:t>
      </w:r>
    </w:p>
    <w:p>
      <w:pPr>
        <w:pStyle w:val="0"/>
        <w:spacing w:before="200" w:line-rule="auto"/>
        <w:ind w:firstLine="540"/>
        <w:jc w:val="both"/>
      </w:pPr>
      <w:r>
        <w:rPr>
          <w:sz w:val="20"/>
        </w:rPr>
        <w:t xml:space="preserve">Центральное место в рамках реализации климатической политики занимает энергоэффективность зданий, которые используют около 40 процентов всей потребляемой первичной энергии, 67 процентов всего электричества, 40 процентов всего сырья и 14 процентов всех запасов питьевой воды, а также производят 35 процентов всех выбросов углекислого газа. Снижение энергопотребления и повышение энергетической эффективности объектов капитального строительства являются одними из важных задач развития отрасли.</w:t>
      </w:r>
    </w:p>
    <w:p>
      <w:pPr>
        <w:pStyle w:val="0"/>
        <w:spacing w:before="200" w:line-rule="auto"/>
        <w:ind w:firstLine="540"/>
        <w:jc w:val="both"/>
      </w:pPr>
      <w:r>
        <w:rPr>
          <w:sz w:val="20"/>
        </w:rPr>
        <w:t xml:space="preserve">В современном мире большое внимание уделяется проблемам рационального использования энергетических ресурсов и снижения негативного воздействия на окружающую среду при их использовании.</w:t>
      </w:r>
    </w:p>
    <w:p>
      <w:pPr>
        <w:pStyle w:val="0"/>
        <w:spacing w:before="200" w:line-rule="auto"/>
        <w:ind w:firstLine="540"/>
        <w:jc w:val="both"/>
      </w:pPr>
      <w:r>
        <w:rPr>
          <w:sz w:val="20"/>
        </w:rPr>
        <w:t xml:space="preserve">По данным Национального доклада о кадастре антропогенных выбросов из источников и абсорбции поглотителями парниковых газов, не регулируемых Монреальским </w:t>
      </w:r>
      <w:hyperlink w:history="0" r:id="rId62" w:tooltip="Ссылка на КонсультантПлюс">
        <w:r>
          <w:rPr>
            <w:sz w:val="20"/>
            <w:color w:val="0000ff"/>
          </w:rPr>
          <w:t xml:space="preserve">протоколом</w:t>
        </w:r>
      </w:hyperlink>
      <w:r>
        <w:rPr>
          <w:sz w:val="20"/>
        </w:rPr>
        <w:t xml:space="preserve">, за 1990 - 2020 годы, общий объем выбросов парниковых газов в Российской Федерации в 2020 году составил 2051,4 млн. тонн CO2-эквивалента. Совокупная доля вклада предприятий отрасли строительства и жилищно-коммунального хозяйства в формирование углеродного следа Российской Федерации составляет 441 млн. тонн CO2-эквивалента, или около 21 процента общенационального баланса выбросов парниковых газов.</w:t>
      </w:r>
    </w:p>
    <w:p>
      <w:pPr>
        <w:pStyle w:val="0"/>
        <w:spacing w:before="200" w:line-rule="auto"/>
        <w:ind w:firstLine="540"/>
        <w:jc w:val="both"/>
      </w:pPr>
      <w:r>
        <w:rPr>
          <w:sz w:val="20"/>
        </w:rPr>
        <w:t xml:space="preserve">В Российской Федерации большая часть жилого фонда не соответствует современным требованиям по энергоэффективности, а энергетическая автономность строящихся зданий зачастую невозможна.</w:t>
      </w:r>
    </w:p>
    <w:p>
      <w:pPr>
        <w:pStyle w:val="0"/>
        <w:spacing w:before="200" w:line-rule="auto"/>
        <w:ind w:firstLine="540"/>
        <w:jc w:val="both"/>
      </w:pPr>
      <w:r>
        <w:rPr>
          <w:sz w:val="20"/>
        </w:rPr>
        <w:t xml:space="preserve">Комплексная реализация мероприятий по обеспечению энергетической эффективности позволит снизить потребность в объемах выработки энергии, что, в свою очередь, будет способствовать сокращению объемов выбросов парниковых газов и снижению углеродного следа объектов строительства.</w:t>
      </w:r>
    </w:p>
    <w:p>
      <w:pPr>
        <w:pStyle w:val="0"/>
        <w:jc w:val="both"/>
      </w:pPr>
      <w:r>
        <w:rPr>
          <w:sz w:val="20"/>
        </w:rPr>
      </w:r>
    </w:p>
    <w:p>
      <w:pPr>
        <w:pStyle w:val="2"/>
        <w:outlineLvl w:val="2"/>
        <w:jc w:val="center"/>
      </w:pPr>
      <w:r>
        <w:rPr>
          <w:sz w:val="20"/>
        </w:rPr>
        <w:t xml:space="preserve">Адаптация к последствиям изменения климата</w:t>
      </w:r>
    </w:p>
    <w:p>
      <w:pPr>
        <w:pStyle w:val="0"/>
        <w:jc w:val="both"/>
      </w:pPr>
      <w:r>
        <w:rPr>
          <w:sz w:val="20"/>
        </w:rPr>
      </w:r>
    </w:p>
    <w:p>
      <w:pPr>
        <w:pStyle w:val="0"/>
        <w:ind w:firstLine="540"/>
        <w:jc w:val="both"/>
      </w:pPr>
      <w:r>
        <w:rPr>
          <w:sz w:val="20"/>
        </w:rPr>
        <w:t xml:space="preserve">Климатические изменения на территории Российской Федерации, связанные с ростом среднегодовых температур, увеличением продолжительности выпадения интенсивных осадков, ростом числа опасных гидрометеорологических явлений, существенным повышением среднегодовой температуры мерзлых пород, приводят к увеличению количества аварийных ситуаций на системах коммунальной и инженерной инфраструктуры, объектах жилищно-коммунального хозяйства, а также на промышленных и гражданских объектах.</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адаптация к неблагоприятным последствиям изменения климата промышленных, гражданских объектов и объектов инженерной инфраструктуры;</w:t>
      </w:r>
    </w:p>
    <w:p>
      <w:pPr>
        <w:pStyle w:val="0"/>
        <w:spacing w:before="200" w:line-rule="auto"/>
        <w:ind w:firstLine="540"/>
        <w:jc w:val="both"/>
      </w:pPr>
      <w:r>
        <w:rPr>
          <w:sz w:val="20"/>
        </w:rPr>
        <w:t xml:space="preserve">повышение энергоэффективности зданий и сооружений, снижение внутренних потерь энергоресурсов, в том числе электроэнергии.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нормативной базы технического регулирования и стандартизации, связанное с адаптацией объектов капитального строительства и сетей инженерно-технического обеспечения к климатическим изменениям;</w:t>
      </w:r>
    </w:p>
    <w:p>
      <w:pPr>
        <w:pStyle w:val="0"/>
        <w:spacing w:before="200" w:line-rule="auto"/>
        <w:ind w:firstLine="540"/>
        <w:jc w:val="both"/>
      </w:pPr>
      <w:r>
        <w:rPr>
          <w:sz w:val="20"/>
        </w:rPr>
        <w:t xml:space="preserve">внедрение технологических и инфраструктурных инноваций, повышающих устойчивость промышленных, гражданских объектов и объектов инженерной инфраструктуры к неблагоприятным погодно-климатическим воздействиям;</w:t>
      </w:r>
    </w:p>
    <w:p>
      <w:pPr>
        <w:pStyle w:val="0"/>
        <w:spacing w:before="200" w:line-rule="auto"/>
        <w:ind w:firstLine="540"/>
        <w:jc w:val="both"/>
      </w:pPr>
      <w:r>
        <w:rPr>
          <w:sz w:val="20"/>
        </w:rPr>
        <w:t xml:space="preserve">проведение системного мониторинга реализации мер по адаптации промышленных и гражданских объектов, систем коммунальной инфраструктуры, объектов жилищно-коммунального хозяйства и существующего жилищного фонда.</w:t>
      </w:r>
    </w:p>
    <w:p>
      <w:pPr>
        <w:pStyle w:val="0"/>
        <w:spacing w:before="200" w:line-rule="auto"/>
        <w:ind w:firstLine="540"/>
        <w:jc w:val="both"/>
      </w:pPr>
      <w:r>
        <w:rPr>
          <w:sz w:val="20"/>
        </w:rPr>
        <w:t xml:space="preserve">Результатом осуществления указанных мероприятий является обеспечение безопасности промышленных и гражданских объектов, систем коммунальной инфраструктуры и объектов жилищно-коммунального хозяйства от последствий изменения климата.</w:t>
      </w:r>
    </w:p>
    <w:p>
      <w:pPr>
        <w:pStyle w:val="0"/>
        <w:jc w:val="both"/>
      </w:pPr>
      <w:r>
        <w:rPr>
          <w:sz w:val="20"/>
        </w:rPr>
      </w:r>
    </w:p>
    <w:p>
      <w:pPr>
        <w:pStyle w:val="2"/>
        <w:outlineLvl w:val="2"/>
        <w:jc w:val="center"/>
      </w:pPr>
      <w:r>
        <w:rPr>
          <w:sz w:val="20"/>
        </w:rPr>
        <w:t xml:space="preserve">Охрана окружающей среды, снижение объема выбросов парниковых</w:t>
      </w:r>
    </w:p>
    <w:p>
      <w:pPr>
        <w:pStyle w:val="2"/>
        <w:jc w:val="center"/>
      </w:pPr>
      <w:r>
        <w:rPr>
          <w:sz w:val="20"/>
        </w:rPr>
        <w:t xml:space="preserve">газов и энергетическая эффективность</w:t>
      </w:r>
    </w:p>
    <w:p>
      <w:pPr>
        <w:pStyle w:val="0"/>
        <w:jc w:val="both"/>
      </w:pPr>
      <w:r>
        <w:rPr>
          <w:sz w:val="20"/>
        </w:rPr>
      </w:r>
    </w:p>
    <w:p>
      <w:pPr>
        <w:pStyle w:val="0"/>
        <w:ind w:firstLine="540"/>
        <w:jc w:val="both"/>
      </w:pPr>
      <w:r>
        <w:rPr>
          <w:sz w:val="20"/>
        </w:rPr>
        <w:t xml:space="preserve">Основными направлениями обеспечения снижения выбросов парниковых газов и повышения энергетической эффективности в сфере жилищно-коммунального хозяйства будут являться мероприятия по модернизации и повышению эффективности объектов и систем коммунальной инфраструктуры, а также проведение капитального ремонта многоквартирных домов, общественных и промышленных зданий, обеспечивающего повышение их энергоэффективности.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низкая мотивация строительства многоквартирных домов наивысших классов энергетической эффективности и применения технологий "зеленого строительства";</w:t>
      </w:r>
    </w:p>
    <w:p>
      <w:pPr>
        <w:pStyle w:val="0"/>
        <w:spacing w:before="200" w:line-rule="auto"/>
        <w:ind w:firstLine="540"/>
        <w:jc w:val="both"/>
      </w:pPr>
      <w:r>
        <w:rPr>
          <w:sz w:val="20"/>
        </w:rPr>
        <w:t xml:space="preserve">уровень потребления топлива населением для бытовых нужд (в первую очередь на отопление) и, соответственно, уровень выбросов парниковых газов в бытовом секторе сопоставимы с объемом топливных затрат и выбросов парниковых газов от выработки тепла всего коммунального сектора. В настоящее время около 20 процентов индивидуальных жилых домов в Российской Федерации отапливаются дизельным и иными видами жидкого топлива;</w:t>
      </w:r>
    </w:p>
    <w:p>
      <w:pPr>
        <w:pStyle w:val="0"/>
        <w:spacing w:before="200" w:line-rule="auto"/>
        <w:ind w:firstLine="540"/>
        <w:jc w:val="both"/>
      </w:pPr>
      <w:r>
        <w:rPr>
          <w:sz w:val="20"/>
        </w:rPr>
        <w:t xml:space="preserve">низкая мотивация использования строительными организациями и предприятиями жилищно-коммунальной сферы возобновляемых источников энергии и вторичных энергоресурсов при строительстве и реконструкции зданий, снижения выбросов загрязняющих веществ и парниковых газов в атмосферный воздух, предотвращения дальнейшего загрязнения и уменьшения уровня загрязнения атмосферного воздуха, сокращения технологических потерь, повышения экологической и энергетической эффективности;</w:t>
      </w:r>
    </w:p>
    <w:p>
      <w:pPr>
        <w:pStyle w:val="0"/>
        <w:spacing w:before="200" w:line-rule="auto"/>
        <w:ind w:firstLine="540"/>
        <w:jc w:val="both"/>
      </w:pPr>
      <w:r>
        <w:rPr>
          <w:sz w:val="20"/>
        </w:rPr>
        <w:t xml:space="preserve">недостаточный объем мероприятий по энергосбережению и повышению энергетической эффективности.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формирование системы технических и организационных требований, направленных на обеспечение рационального природопользования, сокращение потребления энергетических ресурсов и снижение вредных воздействий на окружающую среду, использование возобновляемых и вторичных энергетических ресурсов, рационального водопользования;</w:t>
      </w:r>
    </w:p>
    <w:p>
      <w:pPr>
        <w:pStyle w:val="0"/>
        <w:spacing w:before="200" w:line-rule="auto"/>
        <w:ind w:firstLine="540"/>
        <w:jc w:val="both"/>
      </w:pPr>
      <w:r>
        <w:rPr>
          <w:sz w:val="20"/>
        </w:rPr>
        <w:t xml:space="preserve">создание единой системы отражения состояния жилищно-коммунального хозяйства с точки зрения выбросов парниковых газов предприятиями и организациями отрасли и разработка отраслевого углеродного стандарта для оценки "зеленых" проектов;</w:t>
      </w:r>
    </w:p>
    <w:p>
      <w:pPr>
        <w:pStyle w:val="0"/>
        <w:spacing w:before="200" w:line-rule="auto"/>
        <w:ind w:firstLine="540"/>
        <w:jc w:val="both"/>
      </w:pPr>
      <w:r>
        <w:rPr>
          <w:sz w:val="20"/>
        </w:rPr>
        <w:t xml:space="preserve">создание условий для снижения совокупного объема выбросов парниковых газов при строительстве и эксплуатации объектов капитального строительства и инженерной инфраструктуры до 2030 года;</w:t>
      </w:r>
    </w:p>
    <w:p>
      <w:pPr>
        <w:pStyle w:val="0"/>
        <w:spacing w:before="200" w:line-rule="auto"/>
        <w:ind w:firstLine="540"/>
        <w:jc w:val="both"/>
      </w:pPr>
      <w:r>
        <w:rPr>
          <w:sz w:val="20"/>
        </w:rPr>
        <w:t xml:space="preserve">реализация типовых верифицированных проектов по снижению выбросов парниковых газов с соответствующим внесением в реестр углеродных единиц;</w:t>
      </w:r>
    </w:p>
    <w:p>
      <w:pPr>
        <w:pStyle w:val="0"/>
        <w:spacing w:before="200" w:line-rule="auto"/>
        <w:ind w:firstLine="540"/>
        <w:jc w:val="both"/>
      </w:pPr>
      <w:r>
        <w:rPr>
          <w:sz w:val="20"/>
        </w:rPr>
        <w:t xml:space="preserve">создание системы мониторинга по показателям снижения выбросов парниковых газов, а также экологических рисков, включая риски, связанные с деградацией вечной мерзлоты;</w:t>
      </w:r>
    </w:p>
    <w:p>
      <w:pPr>
        <w:pStyle w:val="0"/>
        <w:spacing w:before="200" w:line-rule="auto"/>
        <w:ind w:firstLine="540"/>
        <w:jc w:val="both"/>
      </w:pPr>
      <w:r>
        <w:rPr>
          <w:sz w:val="20"/>
        </w:rPr>
        <w:t xml:space="preserve">обеспечение доступности строительства или приобретения индивидуального жилого дома, модернизации существующих индивидуальных жилых домов с целью перевода отопления на более экологичные виды топлива;</w:t>
      </w:r>
    </w:p>
    <w:p>
      <w:pPr>
        <w:pStyle w:val="0"/>
        <w:spacing w:before="200" w:line-rule="auto"/>
        <w:ind w:firstLine="540"/>
        <w:jc w:val="both"/>
      </w:pPr>
      <w:r>
        <w:rPr>
          <w:sz w:val="20"/>
        </w:rPr>
        <w:t xml:space="preserve">внедрение технологий, направленных на снижение объема или массы выбросов загрязняющих веществ в атмосферный воздух и сбросов загрязняющих веществ в водные объекты при осуществлении строительной деятельности, а также при эксплуатации объектов коммунальной инфраструктуры, жилищного фонда, общественных и промышленных зданий.</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 части коммунальной инфраструктуры:</w:t>
      </w:r>
    </w:p>
    <w:p>
      <w:pPr>
        <w:pStyle w:val="0"/>
        <w:spacing w:before="200" w:line-rule="auto"/>
        <w:ind w:firstLine="540"/>
        <w:jc w:val="both"/>
      </w:pPr>
      <w:r>
        <w:rPr>
          <w:sz w:val="20"/>
        </w:rPr>
        <w:t xml:space="preserve">создание банка типовых верифицированных проектов в сфере водоснабжения и водоотведения, теплоснабжения по снижению выбросов парниковых газов;</w:t>
      </w:r>
    </w:p>
    <w:p>
      <w:pPr>
        <w:pStyle w:val="0"/>
        <w:spacing w:before="200" w:line-rule="auto"/>
        <w:ind w:firstLine="540"/>
        <w:jc w:val="both"/>
      </w:pPr>
      <w:r>
        <w:rPr>
          <w:sz w:val="20"/>
        </w:rPr>
        <w:t xml:space="preserve">мониторинг объемов выбросов парниковых газов на объектах теплоснабжения, водоснабжения, водоотведения, формирование системы контроля и учета проведения энергоэффективной модернизации таких объектов;</w:t>
      </w:r>
    </w:p>
    <w:p>
      <w:pPr>
        <w:pStyle w:val="0"/>
        <w:spacing w:before="200" w:line-rule="auto"/>
        <w:ind w:firstLine="540"/>
        <w:jc w:val="both"/>
      </w:pPr>
      <w:r>
        <w:rPr>
          <w:sz w:val="20"/>
        </w:rPr>
        <w:t xml:space="preserve">информационное обеспечение и обучение в области повышения энергетической эффективности объектов коммунальной инфраструктуры;</w:t>
      </w:r>
    </w:p>
    <w:p>
      <w:pPr>
        <w:pStyle w:val="0"/>
        <w:spacing w:before="200" w:line-rule="auto"/>
        <w:ind w:firstLine="540"/>
        <w:jc w:val="both"/>
      </w:pPr>
      <w:r>
        <w:rPr>
          <w:sz w:val="20"/>
        </w:rPr>
        <w:t xml:space="preserve">развитие инструментов энергосервисных контрактов, контрактов, заключенных в соответствии со стандартами социальной и экологической ответственности, конкурентоспособности;</w:t>
      </w:r>
    </w:p>
    <w:p>
      <w:pPr>
        <w:pStyle w:val="0"/>
        <w:spacing w:before="200" w:line-rule="auto"/>
        <w:ind w:firstLine="540"/>
        <w:jc w:val="both"/>
      </w:pPr>
      <w:r>
        <w:rPr>
          <w:sz w:val="20"/>
        </w:rPr>
        <w:t xml:space="preserve">обеспечение приоритета модернизации комбинированных источников тепловой и электрической энергии;</w:t>
      </w:r>
    </w:p>
    <w:p>
      <w:pPr>
        <w:pStyle w:val="0"/>
        <w:spacing w:before="200" w:line-rule="auto"/>
        <w:ind w:firstLine="540"/>
        <w:jc w:val="both"/>
      </w:pPr>
      <w:r>
        <w:rPr>
          <w:sz w:val="20"/>
        </w:rPr>
        <w:t xml:space="preserve">в части жилищного фонда, общественных и промышленных зданий:</w:t>
      </w:r>
    </w:p>
    <w:p>
      <w:pPr>
        <w:pStyle w:val="0"/>
        <w:spacing w:before="200" w:line-rule="auto"/>
        <w:ind w:firstLine="540"/>
        <w:jc w:val="both"/>
      </w:pPr>
      <w:r>
        <w:rPr>
          <w:sz w:val="20"/>
        </w:rPr>
        <w:t xml:space="preserve">проведение оценки уровня (класса) энергоэффективности многоквартирных домов по методике экспресс-оценки потенциала экономии энергетических ресурсов в многоквартирных домах на основе сравнения фактических показателей с показателями аналогичных многоквартирных домов и нормативным значением для многоквартирных домов этого типа с использованием данных о фактически потребляемых коммунальных ресурсах;</w:t>
      </w:r>
    </w:p>
    <w:p>
      <w:pPr>
        <w:pStyle w:val="0"/>
        <w:spacing w:before="200" w:line-rule="auto"/>
        <w:ind w:firstLine="540"/>
        <w:jc w:val="both"/>
      </w:pPr>
      <w:r>
        <w:rPr>
          <w:sz w:val="20"/>
        </w:rPr>
        <w:t xml:space="preserve">создание банка типовых верифицированных проектов капитального ремонта (или модернизации) многоквартирных домов, обеспечивающего повышение их энергоэффективности;</w:t>
      </w:r>
    </w:p>
    <w:p>
      <w:pPr>
        <w:pStyle w:val="0"/>
        <w:spacing w:before="200" w:line-rule="auto"/>
        <w:ind w:firstLine="540"/>
        <w:jc w:val="both"/>
      </w:pPr>
      <w:r>
        <w:rPr>
          <w:sz w:val="20"/>
        </w:rPr>
        <w:t xml:space="preserve">внедрение автоматизированных систем управления энергопотреблением и учета ресурсов, повышение уровня технической оснащенности инженерно-технического обеспечения;</w:t>
      </w:r>
    </w:p>
    <w:p>
      <w:pPr>
        <w:pStyle w:val="0"/>
        <w:spacing w:before="200" w:line-rule="auto"/>
        <w:ind w:firstLine="540"/>
        <w:jc w:val="both"/>
      </w:pPr>
      <w:r>
        <w:rPr>
          <w:sz w:val="20"/>
        </w:rPr>
        <w:t xml:space="preserve">установка узлов погодного регулирования в многоквартирных домах;</w:t>
      </w:r>
    </w:p>
    <w:p>
      <w:pPr>
        <w:pStyle w:val="0"/>
        <w:spacing w:before="200" w:line-rule="auto"/>
        <w:ind w:firstLine="540"/>
        <w:jc w:val="both"/>
      </w:pPr>
      <w:r>
        <w:rPr>
          <w:sz w:val="20"/>
        </w:rPr>
        <w:t xml:space="preserve">доведение доли потребления коммунальных ресурсов в многоквартирных домах с использованием приборов учета до 100 процентов, за исключением многоквартирных домов, на которые не распространяется требование об обязательной установке приборов учета;</w:t>
      </w:r>
    </w:p>
    <w:p>
      <w:pPr>
        <w:pStyle w:val="0"/>
        <w:spacing w:before="200" w:line-rule="auto"/>
        <w:ind w:firstLine="540"/>
        <w:jc w:val="both"/>
      </w:pPr>
      <w:r>
        <w:rPr>
          <w:sz w:val="20"/>
        </w:rPr>
        <w:t xml:space="preserve">стимулирование к эффективному потреблению тепловой энергии в жилищном фонде, развитие инструментов энергосервисных контрактов;</w:t>
      </w:r>
    </w:p>
    <w:p>
      <w:pPr>
        <w:pStyle w:val="0"/>
        <w:spacing w:before="200" w:line-rule="auto"/>
        <w:ind w:firstLine="540"/>
        <w:jc w:val="both"/>
      </w:pPr>
      <w:r>
        <w:rPr>
          <w:sz w:val="20"/>
        </w:rPr>
        <w:t xml:space="preserve">разработка мер по декарбонизации индивидуальных жилых домов и переводу отопительных систем в индивидуальных жилых домах с низкоэкологичных видов топлива на более экологичные;</w:t>
      </w:r>
    </w:p>
    <w:p>
      <w:pPr>
        <w:pStyle w:val="0"/>
        <w:spacing w:before="200" w:line-rule="auto"/>
        <w:ind w:firstLine="540"/>
        <w:jc w:val="both"/>
      </w:pPr>
      <w:r>
        <w:rPr>
          <w:sz w:val="20"/>
        </w:rPr>
        <w:t xml:space="preserve">в части строительства:</w:t>
      </w:r>
    </w:p>
    <w:p>
      <w:pPr>
        <w:pStyle w:val="0"/>
        <w:spacing w:before="200" w:line-rule="auto"/>
        <w:ind w:firstLine="540"/>
        <w:jc w:val="both"/>
      </w:pPr>
      <w:r>
        <w:rPr>
          <w:sz w:val="20"/>
        </w:rPr>
        <w:t xml:space="preserve">совершенствование нормативной правовой базы, технического регулирования и стандартизации для внедрения энергоэффективных и экологичных технологий и материалов, в том числе вторичных материальных ресурсов, полученных в результате утилизации отходов производства и потребления, использования возобновляемых источников энергии и вторичных энергоресурсов;</w:t>
      </w:r>
    </w:p>
    <w:p>
      <w:pPr>
        <w:pStyle w:val="0"/>
        <w:spacing w:before="200" w:line-rule="auto"/>
        <w:ind w:firstLine="540"/>
        <w:jc w:val="both"/>
      </w:pPr>
      <w:r>
        <w:rPr>
          <w:sz w:val="20"/>
        </w:rPr>
        <w:t xml:space="preserve">информационное обеспечение и обучение в области повышения энергетической эффективности зданий, строений и сооружений;</w:t>
      </w:r>
    </w:p>
    <w:p>
      <w:pPr>
        <w:pStyle w:val="0"/>
        <w:spacing w:before="200" w:line-rule="auto"/>
        <w:ind w:firstLine="540"/>
        <w:jc w:val="both"/>
      </w:pPr>
      <w:r>
        <w:rPr>
          <w:sz w:val="20"/>
        </w:rPr>
        <w:t xml:space="preserve">изучение и освоение международных рейтинговых систем оценки объектов "зеленого строительства", информационного подхода к проектированию, строительства зданий на основе методологии оценки жизненного цикла;</w:t>
      </w:r>
    </w:p>
    <w:p>
      <w:pPr>
        <w:pStyle w:val="0"/>
        <w:spacing w:before="200" w:line-rule="auto"/>
        <w:ind w:firstLine="540"/>
        <w:jc w:val="both"/>
      </w:pPr>
      <w:r>
        <w:rPr>
          <w:sz w:val="20"/>
        </w:rPr>
        <w:t xml:space="preserve">разработка эколого-экономической модели жизненного цикла эффективного здания.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в части коммунальной инфраструктуры:</w:t>
      </w:r>
    </w:p>
    <w:p>
      <w:pPr>
        <w:pStyle w:val="0"/>
        <w:spacing w:before="200" w:line-rule="auto"/>
        <w:ind w:firstLine="540"/>
        <w:jc w:val="both"/>
      </w:pPr>
      <w:r>
        <w:rPr>
          <w:sz w:val="20"/>
        </w:rPr>
        <w:t xml:space="preserve">снижен выброс парниковых газов на 7,83 млн. тонн эквивалента углекислого газа (по отношению к уровню 2019 года) за счет снижения потерь на тепловых сетях в результате проведения их ежегодной замены;</w:t>
      </w:r>
    </w:p>
    <w:p>
      <w:pPr>
        <w:pStyle w:val="0"/>
        <w:spacing w:before="200" w:line-rule="auto"/>
        <w:ind w:firstLine="540"/>
        <w:jc w:val="both"/>
      </w:pPr>
      <w:r>
        <w:rPr>
          <w:sz w:val="20"/>
        </w:rPr>
        <w:t xml:space="preserve">снижен выброс парниковых газов на 12 млн. тонн эквивалента углекислого газа (по отношению к уровню 2019 года) за счет повышения экологичности объектов тепловой генерации вследствие их ежегодной модернизации с замещением низкоэкологичных видов топлива (уголь, мазут) на газовое топливо;</w:t>
      </w:r>
    </w:p>
    <w:p>
      <w:pPr>
        <w:pStyle w:val="0"/>
        <w:spacing w:before="200" w:line-rule="auto"/>
        <w:ind w:firstLine="540"/>
        <w:jc w:val="both"/>
      </w:pPr>
      <w:r>
        <w:rPr>
          <w:sz w:val="20"/>
        </w:rPr>
        <w:t xml:space="preserve">в части жилищного фонда, общественных и промышленных зданий:</w:t>
      </w:r>
    </w:p>
    <w:p>
      <w:pPr>
        <w:pStyle w:val="0"/>
        <w:spacing w:before="200" w:line-rule="auto"/>
        <w:ind w:firstLine="540"/>
        <w:jc w:val="both"/>
      </w:pPr>
      <w:r>
        <w:rPr>
          <w:sz w:val="20"/>
        </w:rPr>
        <w:t xml:space="preserve">снижен выброс парниковых газов за счет проведения энергоэффективной модернизации многоквартирных домов, зданий и сооружений;</w:t>
      </w:r>
    </w:p>
    <w:p>
      <w:pPr>
        <w:pStyle w:val="0"/>
        <w:spacing w:before="200" w:line-rule="auto"/>
        <w:ind w:firstLine="540"/>
        <w:jc w:val="both"/>
      </w:pPr>
      <w:r>
        <w:rPr>
          <w:sz w:val="20"/>
        </w:rPr>
        <w:t xml:space="preserve">снижено потребление тепловой энергии за счет проведения энергоэффективной модернизации многоквартирных домов, зданий и сооружений;</w:t>
      </w:r>
    </w:p>
    <w:p>
      <w:pPr>
        <w:pStyle w:val="0"/>
        <w:spacing w:before="200" w:line-rule="auto"/>
        <w:ind w:firstLine="540"/>
        <w:jc w:val="both"/>
      </w:pPr>
      <w:r>
        <w:rPr>
          <w:sz w:val="20"/>
        </w:rPr>
        <w:t xml:space="preserve">в части строительства:</w:t>
      </w:r>
    </w:p>
    <w:p>
      <w:pPr>
        <w:pStyle w:val="0"/>
        <w:spacing w:before="200" w:line-rule="auto"/>
        <w:ind w:firstLine="540"/>
        <w:jc w:val="both"/>
      </w:pPr>
      <w:r>
        <w:rPr>
          <w:sz w:val="20"/>
        </w:rPr>
        <w:t xml:space="preserve">для вновь создаваемых зданий, строений, сооружений (в том числе многоквартирных домов) удельная характеристика расхода тепловой энергии на отопление и вентиляцию уменьшается:</w:t>
      </w:r>
    </w:p>
    <w:p>
      <w:pPr>
        <w:pStyle w:val="0"/>
        <w:spacing w:before="200" w:line-rule="auto"/>
        <w:ind w:firstLine="540"/>
        <w:jc w:val="both"/>
      </w:pPr>
      <w:r>
        <w:rPr>
          <w:sz w:val="20"/>
        </w:rPr>
        <w:t xml:space="preserve">с 1 января 2025 г. - на 25 процентов по отношению к аналогичному показателю 2017 года;</w:t>
      </w:r>
    </w:p>
    <w:p>
      <w:pPr>
        <w:pStyle w:val="0"/>
        <w:spacing w:before="200" w:line-rule="auto"/>
        <w:ind w:firstLine="540"/>
        <w:jc w:val="both"/>
      </w:pPr>
      <w:r>
        <w:rPr>
          <w:sz w:val="20"/>
        </w:rPr>
        <w:t xml:space="preserve">с 1 января 2030 г. - на 40 процентов по отношению к аналогичному показателю 2017 года;</w:t>
      </w:r>
    </w:p>
    <w:p>
      <w:pPr>
        <w:pStyle w:val="0"/>
        <w:spacing w:before="200" w:line-rule="auto"/>
        <w:ind w:firstLine="540"/>
        <w:jc w:val="both"/>
      </w:pPr>
      <w:r>
        <w:rPr>
          <w:sz w:val="20"/>
        </w:rPr>
        <w:t xml:space="preserve">установлены требования по энергетической эффективности зданий, строений, сооружений, отвечающие современному уровню технологического развития строительного комплекса;</w:t>
      </w:r>
    </w:p>
    <w:p>
      <w:pPr>
        <w:pStyle w:val="0"/>
        <w:spacing w:before="200" w:line-rule="auto"/>
        <w:ind w:firstLine="540"/>
        <w:jc w:val="both"/>
      </w:pPr>
      <w:r>
        <w:rPr>
          <w:sz w:val="20"/>
        </w:rPr>
        <w:t xml:space="preserve">установлены требования к определению класса энергетической эффективности для вновь построенных, реконструированных, прошедших капитальный ремонт, эксплуатируемых многоквартирных домов;</w:t>
      </w:r>
    </w:p>
    <w:p>
      <w:pPr>
        <w:pStyle w:val="0"/>
        <w:spacing w:before="200" w:line-rule="auto"/>
        <w:ind w:firstLine="540"/>
        <w:jc w:val="both"/>
      </w:pPr>
      <w:r>
        <w:rPr>
          <w:sz w:val="20"/>
        </w:rPr>
        <w:t xml:space="preserve">сформирован реестр "зеленого жилья";</w:t>
      </w:r>
    </w:p>
    <w:p>
      <w:pPr>
        <w:pStyle w:val="0"/>
        <w:spacing w:before="200" w:line-rule="auto"/>
        <w:ind w:firstLine="540"/>
        <w:jc w:val="both"/>
      </w:pPr>
      <w:r>
        <w:rPr>
          <w:sz w:val="20"/>
        </w:rPr>
        <w:t xml:space="preserve">снижено потребление коммунальных ресурсов для "зеленых зданий".</w:t>
      </w:r>
    </w:p>
    <w:p>
      <w:pPr>
        <w:pStyle w:val="0"/>
        <w:jc w:val="both"/>
      </w:pPr>
      <w:r>
        <w:rPr>
          <w:sz w:val="20"/>
        </w:rPr>
      </w:r>
    </w:p>
    <w:p>
      <w:pPr>
        <w:pStyle w:val="2"/>
        <w:outlineLvl w:val="1"/>
        <w:jc w:val="center"/>
      </w:pPr>
      <w:r>
        <w:rPr>
          <w:sz w:val="20"/>
        </w:rPr>
        <w:t xml:space="preserve">X. Цифровая трансформация отрасли строительства</w:t>
      </w:r>
    </w:p>
    <w:p>
      <w:pPr>
        <w:pStyle w:val="2"/>
        <w:jc w:val="center"/>
      </w:pPr>
      <w:r>
        <w:rPr>
          <w:sz w:val="20"/>
        </w:rPr>
        <w:t xml:space="preserve">и жилищно-коммунального хозяйства</w:t>
      </w:r>
    </w:p>
    <w:p>
      <w:pPr>
        <w:pStyle w:val="0"/>
        <w:jc w:val="both"/>
      </w:pPr>
      <w:r>
        <w:rPr>
          <w:sz w:val="20"/>
        </w:rPr>
      </w:r>
    </w:p>
    <w:p>
      <w:pPr>
        <w:pStyle w:val="0"/>
        <w:ind w:firstLine="540"/>
        <w:jc w:val="both"/>
      </w:pPr>
      <w:r>
        <w:rPr>
          <w:sz w:val="20"/>
        </w:rPr>
        <w:t xml:space="preserve">Цифровизация в строительстве и жилищно-коммунальном хозяйстве является передовым инструментом достижения стратегических целей и национальных задач. Целевым ориентиром мероприятий цифровой трансформации являются формирование и развитие цифровой системы управления жизненным циклом объектов капитального строительства, городского и жилищно-коммунального хозяйства, отвечающей современным отраслевым вызовам.</w:t>
      </w:r>
    </w:p>
    <w:p>
      <w:pPr>
        <w:pStyle w:val="0"/>
        <w:spacing w:before="200" w:line-rule="auto"/>
        <w:ind w:firstLine="540"/>
        <w:jc w:val="both"/>
      </w:pPr>
      <w:r>
        <w:rPr>
          <w:sz w:val="20"/>
        </w:rPr>
        <w:t xml:space="preserve">В результате перехода на цифровые технологии проектирования и управления производственными и эксплуатационными процессами, внедрения цифровых решений, обеспечения цифрового взаимодействия с заказчиками, подрядчиками и конечными потребителями продукции и услуг, а также с финансово-кредитными и институциональными организациями повышаются качество управленческих решений, прозрачность и доступность выполняемых работ и услуг, сокращаются сроки их оказания, снижается себестоимость, что приводит к повышению инвестиционной привлекательности строительной отрасли и жилищно-коммунального хозяйства.</w:t>
      </w:r>
    </w:p>
    <w:p>
      <w:pPr>
        <w:pStyle w:val="0"/>
        <w:spacing w:before="200" w:line-rule="auto"/>
        <w:ind w:firstLine="540"/>
        <w:jc w:val="both"/>
      </w:pPr>
      <w:r>
        <w:rPr>
          <w:sz w:val="20"/>
        </w:rPr>
        <w:t xml:space="preserve">Разработаны нормативные правовые акты, обеспечивающие возможность использования технологии информационного моделирования не только в практической деятельности проектных и строительных организаций, но и при взаимодействии с органами власти, осуществляющими полномочия по проведению государственной экспертизы проектной документации, государственного строительного надзора, выдаче разрешений на строительство.</w:t>
      </w:r>
    </w:p>
    <w:p>
      <w:pPr>
        <w:pStyle w:val="0"/>
        <w:spacing w:before="200" w:line-rule="auto"/>
        <w:ind w:firstLine="540"/>
        <w:jc w:val="both"/>
      </w:pPr>
      <w:r>
        <w:rPr>
          <w:sz w:val="20"/>
        </w:rPr>
        <w:t xml:space="preserve">Функционируют государственная информационная система "Единый государственный реестр заключений экспертизы проектной документации объектов капитального строительства", автоматизированная информационная система публично-правовой компании "Фонд развития территорий", государственная информационная система жилищно-коммунального хозяйства, единая информационная система жилищного строительства, федеральная государственная информационная система ценообразования в строительстве, информационно-аналитическая система управления инвестиционно-строительными проектами, комплексная информационная система Министерства строительства и жилищно-коммунального хозяйства Российской Федерации.</w:t>
      </w:r>
    </w:p>
    <w:p>
      <w:pPr>
        <w:pStyle w:val="0"/>
        <w:jc w:val="both"/>
      </w:pPr>
      <w:r>
        <w:rPr>
          <w:sz w:val="20"/>
        </w:rPr>
        <w:t xml:space="preserve">(в ред. </w:t>
      </w:r>
      <w:hyperlink w:history="0" r:id="rId63" w:tooltip="Постановление Правительства РФ от 20.09.2023 N 15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20.09.2023 N 1529)</w:t>
      </w:r>
    </w:p>
    <w:p>
      <w:pPr>
        <w:pStyle w:val="0"/>
        <w:spacing w:before="200" w:line-rule="auto"/>
        <w:ind w:firstLine="540"/>
        <w:jc w:val="both"/>
      </w:pPr>
      <w:r>
        <w:rPr>
          <w:sz w:val="20"/>
        </w:rPr>
        <w:t xml:space="preserve">Наличие таких реестров и систем является основой для формирования единой цифровой среды, позволяющей обеспечить создание информационных систем, при условии применения технологий информационного моделирования, переводимых в ресурс информации об объектах капитального строительства на всем протяжении жизненного цикла.</w:t>
      </w:r>
    </w:p>
    <w:p>
      <w:pPr>
        <w:pStyle w:val="0"/>
        <w:spacing w:before="200" w:line-rule="auto"/>
        <w:ind w:firstLine="540"/>
        <w:jc w:val="both"/>
      </w:pPr>
      <w:r>
        <w:rPr>
          <w:sz w:val="20"/>
        </w:rPr>
        <w:t xml:space="preserve">При помощи алгоритмов машинного обучения в единой информационной системе жилищного строительства реализован мониторинг объектов строительства с целью выявления возможных срывов сроков ввода в эксплуатацию, а также сформирована интегральная аналитическая платформа.</w:t>
      </w:r>
    </w:p>
    <w:p>
      <w:pPr>
        <w:pStyle w:val="0"/>
        <w:spacing w:before="200" w:line-rule="auto"/>
        <w:ind w:firstLine="540"/>
        <w:jc w:val="both"/>
      </w:pPr>
      <w:r>
        <w:rPr>
          <w:sz w:val="20"/>
        </w:rPr>
        <w:t xml:space="preserve">Количество взаимодействий участников отрасли с различными органами управления ежегодно превышает 2 миллиона транзакций. Наиболее массовыми операциями являются выдача градостроительного плана земельного участка, выдача разрешений на строительство, на ввод в эксплуатацию, получение уведомлений при начале и окончании строительства индивидуального жилого дома, а также процедуры в области экспертизы и строительного надзора.</w:t>
      </w:r>
    </w:p>
    <w:p>
      <w:pPr>
        <w:pStyle w:val="0"/>
        <w:spacing w:before="200" w:line-rule="auto"/>
        <w:ind w:firstLine="540"/>
        <w:jc w:val="both"/>
      </w:pPr>
      <w:r>
        <w:rPr>
          <w:sz w:val="20"/>
        </w:rPr>
        <w:t xml:space="preserve">Повышению скорости и эффективности взаимодействия способствовали вывод 20 услуг в сфере строительства на единый портал государственных и муниципальных услуг, а также запуск базовой версии суперсервиса "Цифровое строительство".</w:t>
      </w:r>
    </w:p>
    <w:p>
      <w:pPr>
        <w:pStyle w:val="0"/>
        <w:spacing w:before="200" w:line-rule="auto"/>
        <w:ind w:firstLine="540"/>
        <w:jc w:val="both"/>
      </w:pPr>
      <w:r>
        <w:rPr>
          <w:sz w:val="20"/>
        </w:rPr>
        <w:t xml:space="preserve">Обеспечение завершения проводимых мероприятий в совокупности с созданием единой прогнозно-аналитической вертикали в строительной отрасли и жилищно-коммунального хозяйства позволит снизить административную нагрузку в рамках процедур, связанных с инвестиционно-строительным циклом, сократить транзакционные издержки взаимоотношений агентов и обеспечить оперативную и эффективную систему принятия управленческих решений на всех уровнях.</w:t>
      </w:r>
    </w:p>
    <w:p>
      <w:pPr>
        <w:pStyle w:val="0"/>
        <w:spacing w:before="200" w:line-rule="auto"/>
        <w:ind w:firstLine="540"/>
        <w:jc w:val="both"/>
      </w:pPr>
      <w:r>
        <w:rPr>
          <w:sz w:val="20"/>
        </w:rPr>
        <w:t xml:space="preserve">Цифровизация процедур в строительстве и жилищно-коммунальном хозяйстве направлена как на решение конкретных отраслевых задач, так и на достижение показателей непосредственно "цифровой зрелости".</w:t>
      </w:r>
    </w:p>
    <w:p>
      <w:pPr>
        <w:pStyle w:val="0"/>
        <w:spacing w:before="200" w:line-rule="auto"/>
        <w:ind w:firstLine="540"/>
        <w:jc w:val="both"/>
      </w:pPr>
      <w:r>
        <w:rPr>
          <w:sz w:val="20"/>
        </w:rPr>
        <w:t xml:space="preserve">"Цифровая зрелость" отрасли строительства находится на недостаточном уровне, что обусловлено рядом объективных причин:</w:t>
      </w:r>
    </w:p>
    <w:p>
      <w:pPr>
        <w:pStyle w:val="0"/>
        <w:spacing w:before="200" w:line-rule="auto"/>
        <w:ind w:firstLine="540"/>
        <w:jc w:val="both"/>
      </w:pPr>
      <w:r>
        <w:rPr>
          <w:sz w:val="20"/>
        </w:rPr>
        <w:t xml:space="preserve">неоднородность уровня использования цифровых решений в регионах;</w:t>
      </w:r>
    </w:p>
    <w:p>
      <w:pPr>
        <w:pStyle w:val="0"/>
        <w:spacing w:before="200" w:line-rule="auto"/>
        <w:ind w:firstLine="540"/>
        <w:jc w:val="both"/>
      </w:pPr>
      <w:r>
        <w:rPr>
          <w:sz w:val="20"/>
        </w:rPr>
        <w:t xml:space="preserve">отсутствие возможности отслеживания применения сквозной технологии информационного моделирования в различных информационных системах.</w:t>
      </w:r>
    </w:p>
    <w:p>
      <w:pPr>
        <w:pStyle w:val="0"/>
        <w:spacing w:before="200" w:line-rule="auto"/>
        <w:ind w:firstLine="540"/>
        <w:jc w:val="both"/>
      </w:pPr>
      <w:r>
        <w:rPr>
          <w:sz w:val="20"/>
        </w:rPr>
        <w:t xml:space="preserve">Большая часть показателей для оценки "цифровой зрелости" связана с внедрением технологий информационного моделирования, при этом обязательность использования технологий информационного моделирования для объектов капитального строительства, финансирование которых осуществляется с привлечением средств бюджетов бюджетной системы Российской Федерации, закреплена на законодательном уровне лишь с 1 января 2022 г. При этом доля таких объектов составляет около 20 процентов отраслевого объема по Российской Федерации. Также одной из причин является низкая материально-техническая и кадровая готовность как на региональном уровне, так и по отраслям.</w:t>
      </w:r>
    </w:p>
    <w:p>
      <w:pPr>
        <w:pStyle w:val="0"/>
        <w:spacing w:before="200" w:line-rule="auto"/>
        <w:ind w:firstLine="540"/>
        <w:jc w:val="both"/>
      </w:pPr>
      <w:r>
        <w:rPr>
          <w:sz w:val="20"/>
        </w:rPr>
        <w:t xml:space="preserve">Расчет по базовым показателям "цифровой зрелости" развития городской среды достиг отметки в 60 процентов.</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несоответствие уровня отраслевых цифровых систем поддержки управленческих решений современным запросам по эффективному планированию, проектированию, эксплуатации и текущему управлению объектов капитального строительства, городского и жилищно-коммунального хозяйства для достижения национальных целей и стратегических задач;</w:t>
      </w:r>
    </w:p>
    <w:p>
      <w:pPr>
        <w:pStyle w:val="0"/>
        <w:spacing w:before="200" w:line-rule="auto"/>
        <w:ind w:firstLine="540"/>
        <w:jc w:val="both"/>
      </w:pPr>
      <w:r>
        <w:rPr>
          <w:sz w:val="20"/>
        </w:rPr>
        <w:t xml:space="preserve">"цифровое неравенство" субъектов Российской Федерации в сфере строительства и жилищно-коммунального хозяйства;</w:t>
      </w:r>
    </w:p>
    <w:p>
      <w:pPr>
        <w:pStyle w:val="0"/>
        <w:spacing w:before="200" w:line-rule="auto"/>
        <w:ind w:firstLine="540"/>
        <w:jc w:val="both"/>
      </w:pPr>
      <w:r>
        <w:rPr>
          <w:sz w:val="20"/>
        </w:rPr>
        <w:t xml:space="preserve">низкий уровень цифровизации участников градостроительной деятельности - 95 процентов взаимодействий между участниками на всех этапах жизненного цикла объектов капитального строительства происходит на бумаге либо в электронном нередактируемом формате;</w:t>
      </w:r>
    </w:p>
    <w:p>
      <w:pPr>
        <w:pStyle w:val="0"/>
        <w:spacing w:before="200" w:line-rule="auto"/>
        <w:ind w:firstLine="540"/>
        <w:jc w:val="both"/>
      </w:pPr>
      <w:r>
        <w:rPr>
          <w:sz w:val="20"/>
        </w:rPr>
        <w:t xml:space="preserve">низкий уровень цифровизации поставщиков коммунальных услуг и организаций, оказывающих жилищно-коммунальные услуги;</w:t>
      </w:r>
    </w:p>
    <w:p>
      <w:pPr>
        <w:pStyle w:val="0"/>
        <w:spacing w:before="200" w:line-rule="auto"/>
        <w:ind w:firstLine="540"/>
        <w:jc w:val="both"/>
      </w:pPr>
      <w:r>
        <w:rPr>
          <w:sz w:val="20"/>
        </w:rPr>
        <w:t xml:space="preserve">несформированность ресурсной базы для перехода к интенсивным и основанным на цифровых технологиях методам реализации государственной политики и обеспечения безбарьерной цифровой среды для взаимодействия участников, в том числе несформированность системы подготовки кадров для цифровой трансформации отрасли;</w:t>
      </w:r>
    </w:p>
    <w:p>
      <w:pPr>
        <w:pStyle w:val="0"/>
        <w:spacing w:before="200" w:line-rule="auto"/>
        <w:ind w:firstLine="540"/>
        <w:jc w:val="both"/>
      </w:pPr>
      <w:r>
        <w:rPr>
          <w:sz w:val="20"/>
        </w:rPr>
        <w:t xml:space="preserve">зависимость информационно-коммуникационной инфраструктуры отраслей строительства и жилищно-коммунального хозяйства от иностранного программного обеспечения;</w:t>
      </w:r>
    </w:p>
    <w:p>
      <w:pPr>
        <w:pStyle w:val="0"/>
        <w:spacing w:before="200" w:line-rule="auto"/>
        <w:ind w:firstLine="540"/>
        <w:jc w:val="both"/>
      </w:pPr>
      <w:r>
        <w:rPr>
          <w:sz w:val="20"/>
        </w:rPr>
        <w:t xml:space="preserve">низкий уровень охвата технологий информационного моделирования в регионах Российской Федерации, отсутствие обязательных требований применения технологий информационного моделирования на объектах капитального строительства, финансирование которых осуществляется за счет привлеченных инвестиций;</w:t>
      </w:r>
    </w:p>
    <w:p>
      <w:pPr>
        <w:pStyle w:val="0"/>
        <w:spacing w:before="200" w:line-rule="auto"/>
        <w:ind w:firstLine="540"/>
        <w:jc w:val="both"/>
      </w:pPr>
      <w:r>
        <w:rPr>
          <w:sz w:val="20"/>
        </w:rPr>
        <w:t xml:space="preserve">низкий уровень "цифровой зрелости" отрасли строительства;</w:t>
      </w:r>
    </w:p>
    <w:p>
      <w:pPr>
        <w:pStyle w:val="0"/>
        <w:spacing w:before="200" w:line-rule="auto"/>
        <w:ind w:firstLine="540"/>
        <w:jc w:val="both"/>
      </w:pPr>
      <w:r>
        <w:rPr>
          <w:sz w:val="20"/>
        </w:rPr>
        <w:t xml:space="preserve">отсутствие инструментов мониторинга появления нелегальных свалок и площадок переработки отходов строительства и сноса.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цифровая трансформация процессов и услуг, административных процедур в сфере строительства и жилищно-коммунального хозяйства, внедрение информационных технологий на всех этапах жизненного цикла объекта капитального строительства;</w:t>
      </w:r>
    </w:p>
    <w:p>
      <w:pPr>
        <w:pStyle w:val="0"/>
        <w:spacing w:before="200" w:line-rule="auto"/>
        <w:ind w:firstLine="540"/>
        <w:jc w:val="both"/>
      </w:pPr>
      <w:r>
        <w:rPr>
          <w:sz w:val="20"/>
        </w:rPr>
        <w:t xml:space="preserve">консолидация информации о градостроительной деятельности на всей территории Российской Федерации, обеспечивающая поддержку принятия управленческих решений и широкий доступ для участников отрасли с целью минимизации транзакционных издержек взаимодействия;</w:t>
      </w:r>
    </w:p>
    <w:p>
      <w:pPr>
        <w:pStyle w:val="0"/>
        <w:spacing w:before="200" w:line-rule="auto"/>
        <w:ind w:firstLine="540"/>
        <w:jc w:val="both"/>
      </w:pPr>
      <w:r>
        <w:rPr>
          <w:sz w:val="20"/>
        </w:rPr>
        <w:t xml:space="preserve">создание прикладного инструментария для реализации всех мероприятий, предусмотренных административной и профессиональной трансформацией;</w:t>
      </w:r>
    </w:p>
    <w:p>
      <w:pPr>
        <w:pStyle w:val="0"/>
        <w:spacing w:before="200" w:line-rule="auto"/>
        <w:ind w:firstLine="540"/>
        <w:jc w:val="both"/>
      </w:pPr>
      <w:r>
        <w:rPr>
          <w:sz w:val="20"/>
        </w:rPr>
        <w:t xml:space="preserve">развитие клиентоцентричности цифровых инструментов системы управления жилищно-коммунальным хозяйством;</w:t>
      </w:r>
    </w:p>
    <w:p>
      <w:pPr>
        <w:pStyle w:val="0"/>
        <w:spacing w:before="200" w:line-rule="auto"/>
        <w:ind w:firstLine="540"/>
        <w:jc w:val="both"/>
      </w:pPr>
      <w:r>
        <w:rPr>
          <w:sz w:val="20"/>
        </w:rPr>
        <w:t xml:space="preserve">повышение эффективности организаций жилищно-коммунального хозяйства путем внедрения автоматизированных систем управления их деятельностью;</w:t>
      </w:r>
    </w:p>
    <w:p>
      <w:pPr>
        <w:pStyle w:val="0"/>
        <w:spacing w:before="200" w:line-rule="auto"/>
        <w:ind w:firstLine="540"/>
        <w:jc w:val="both"/>
      </w:pPr>
      <w:r>
        <w:rPr>
          <w:sz w:val="20"/>
        </w:rPr>
        <w:t xml:space="preserve">обеспечение внедрения конкурентоспособного российского программного обеспечения при реализации мероприятий по цифровизации строительной отрасли и отрасли жилищно-коммунального хозяйства;</w:t>
      </w:r>
    </w:p>
    <w:p>
      <w:pPr>
        <w:pStyle w:val="0"/>
        <w:spacing w:before="200" w:line-rule="auto"/>
        <w:ind w:firstLine="540"/>
        <w:jc w:val="both"/>
      </w:pPr>
      <w:r>
        <w:rPr>
          <w:sz w:val="20"/>
        </w:rPr>
        <w:t xml:space="preserve">обеспечение формирования методологической, нормативной правовой базы для обеспечения надлежащего уровня "цифровой зрелости" и перевод нормативно-технической документации в машиночитаемый формат;</w:t>
      </w:r>
    </w:p>
    <w:p>
      <w:pPr>
        <w:pStyle w:val="0"/>
        <w:spacing w:before="200" w:line-rule="auto"/>
        <w:ind w:firstLine="540"/>
        <w:jc w:val="both"/>
      </w:pPr>
      <w:r>
        <w:rPr>
          <w:sz w:val="20"/>
        </w:rPr>
        <w:t xml:space="preserve">обеспечение мониторинга объемов твердых коммунальных отходов и отходов строительства и сноса, направляемых на захоронение, за счет внедрения информационных систем контроля и учета;</w:t>
      </w:r>
    </w:p>
    <w:p>
      <w:pPr>
        <w:pStyle w:val="0"/>
        <w:spacing w:before="200" w:line-rule="auto"/>
        <w:ind w:firstLine="540"/>
        <w:jc w:val="both"/>
      </w:pPr>
      <w:r>
        <w:rPr>
          <w:sz w:val="20"/>
        </w:rPr>
        <w:t xml:space="preserve">сокращение логистических издержек при транспортировке отходов строительства и сноса к местам утилизации и (или) переработки за счет разработанного программного обеспечения для внедрения систем мониторинга обращения с отходами строительства и сноса на всех этапах цикла 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унификация и перевод в электронный вид мероприятий (услуг) в сфере строительства с интеграцией с федеральным и региональными порталами государственных услуг, развитие суперсервиса "Цифровое строительство", обеспечивающего "бесшовное" оказание услуг в сфере строительства;</w:t>
      </w:r>
    </w:p>
    <w:p>
      <w:pPr>
        <w:pStyle w:val="0"/>
        <w:spacing w:before="200" w:line-rule="auto"/>
        <w:ind w:firstLine="540"/>
        <w:jc w:val="both"/>
      </w:pPr>
      <w:r>
        <w:rPr>
          <w:sz w:val="20"/>
        </w:rPr>
        <w:t xml:space="preserve">создание условий для взаимодействия всех участников инвестиционно-строительных процессов на базе единой цифровой среды, внедрение систем искусственного интеллекта в целях повышения эффективности работы отрасли;</w:t>
      </w:r>
    </w:p>
    <w:p>
      <w:pPr>
        <w:pStyle w:val="0"/>
        <w:spacing w:before="200" w:line-rule="auto"/>
        <w:ind w:firstLine="540"/>
        <w:jc w:val="both"/>
      </w:pPr>
      <w:r>
        <w:rPr>
          <w:sz w:val="20"/>
        </w:rPr>
        <w:t xml:space="preserve">переход на использование сквозной технологии информационного моделирования для всего жизненного цикла объекта капитального строительства, внедрение и развитие системы управления жизненным циклом объекта капитального строительства на основе технологий информационного моделирования (государственная информационная система обеспечения градостроительной деятельности Российской Федерации);</w:t>
      </w:r>
    </w:p>
    <w:p>
      <w:pPr>
        <w:pStyle w:val="0"/>
        <w:spacing w:before="200" w:line-rule="auto"/>
        <w:ind w:firstLine="540"/>
        <w:jc w:val="both"/>
      </w:pPr>
      <w:r>
        <w:rPr>
          <w:sz w:val="20"/>
        </w:rPr>
        <w:t xml:space="preserve">формирование вертикали управления цифровой трансформацией отрасли, разработка механизмов повышения "цифровой зрелости" отрасли строительства, "цифровой зрелости" развития городской среды;</w:t>
      </w:r>
    </w:p>
    <w:p>
      <w:pPr>
        <w:pStyle w:val="0"/>
        <w:spacing w:before="200" w:line-rule="auto"/>
        <w:ind w:firstLine="540"/>
        <w:jc w:val="both"/>
      </w:pPr>
      <w:r>
        <w:rPr>
          <w:sz w:val="20"/>
        </w:rPr>
        <w:t xml:space="preserve">развитие и модернизация государственной информационной системы жилищно-коммунального хозяйства, разработка механизмов повышения цифровизации организаций жилищно-коммунального хозяйства;</w:t>
      </w:r>
    </w:p>
    <w:p>
      <w:pPr>
        <w:pStyle w:val="0"/>
        <w:spacing w:before="200" w:line-rule="auto"/>
        <w:ind w:firstLine="540"/>
        <w:jc w:val="both"/>
      </w:pPr>
      <w:r>
        <w:rPr>
          <w:sz w:val="20"/>
        </w:rPr>
        <w:t xml:space="preserve">повышение эффективности функционирования единой информационной системы жилищного строительства за счет внедрения технологий искусственного интеллекта;</w:t>
      </w:r>
    </w:p>
    <w:p>
      <w:pPr>
        <w:pStyle w:val="0"/>
        <w:spacing w:before="200" w:line-rule="auto"/>
        <w:ind w:firstLine="540"/>
        <w:jc w:val="both"/>
      </w:pPr>
      <w:r>
        <w:rPr>
          <w:sz w:val="20"/>
        </w:rPr>
        <w:t xml:space="preserve">развитие, поддержка и внедрение отечественного программного обеспечения на всех этапах жизненного цикла объекта капитального строительства;</w:t>
      </w:r>
    </w:p>
    <w:p>
      <w:pPr>
        <w:pStyle w:val="0"/>
        <w:spacing w:before="200" w:line-rule="auto"/>
        <w:ind w:firstLine="540"/>
        <w:jc w:val="both"/>
      </w:pPr>
      <w:r>
        <w:rPr>
          <w:sz w:val="20"/>
        </w:rPr>
        <w:t xml:space="preserve">корректировка существующей нормативной правовой базы в рамках применения технологий информационного моделирования;</w:t>
      </w:r>
    </w:p>
    <w:p>
      <w:pPr>
        <w:pStyle w:val="0"/>
        <w:spacing w:before="200" w:line-rule="auto"/>
        <w:ind w:firstLine="540"/>
        <w:jc w:val="both"/>
      </w:pPr>
      <w:r>
        <w:rPr>
          <w:sz w:val="20"/>
        </w:rPr>
        <w:t xml:space="preserve">разработка программного обеспечения для внедрения региональных систем мониторинга обращения с отходами строительства и сноса, поэтапное внедрение программного обеспечения во всех субъектах Российской Федерации.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создана единая цифровая система управления строительной отраслью и жилищно-коммунальным хозяйством;</w:t>
      </w:r>
    </w:p>
    <w:p>
      <w:pPr>
        <w:pStyle w:val="0"/>
        <w:spacing w:before="200" w:line-rule="auto"/>
        <w:ind w:firstLine="540"/>
        <w:jc w:val="both"/>
      </w:pPr>
      <w:r>
        <w:rPr>
          <w:sz w:val="20"/>
        </w:rPr>
        <w:t xml:space="preserve">переведены в электронный вид все процедуры в рамках взаимодействия участников инвестиционно-строительного цикла на всем его протяжении;</w:t>
      </w:r>
    </w:p>
    <w:p>
      <w:pPr>
        <w:pStyle w:val="0"/>
        <w:spacing w:before="200" w:line-rule="auto"/>
        <w:ind w:firstLine="540"/>
        <w:jc w:val="both"/>
      </w:pPr>
      <w:r>
        <w:rPr>
          <w:sz w:val="20"/>
        </w:rPr>
        <w:t xml:space="preserve">завершено формирование государственных информационных систем обеспечения градостроительной деятельности;</w:t>
      </w:r>
    </w:p>
    <w:p>
      <w:pPr>
        <w:pStyle w:val="0"/>
        <w:spacing w:before="200" w:line-rule="auto"/>
        <w:ind w:firstLine="540"/>
        <w:jc w:val="both"/>
      </w:pPr>
      <w:r>
        <w:rPr>
          <w:sz w:val="20"/>
        </w:rPr>
        <w:t xml:space="preserve">в отношении не менее чем 30 процентов объектов, организация строительства которых осуществлена с использованием технологий информационного моделирования, получены разрешения на строительство и осуществлена постановка на государственный кадастровый учет;</w:t>
      </w:r>
    </w:p>
    <w:p>
      <w:pPr>
        <w:pStyle w:val="0"/>
        <w:spacing w:before="200" w:line-rule="auto"/>
        <w:ind w:firstLine="540"/>
        <w:jc w:val="both"/>
      </w:pPr>
      <w:r>
        <w:rPr>
          <w:sz w:val="20"/>
        </w:rPr>
        <w:t xml:space="preserve">осуществлена доработка государственной информационной системы обеспечения градостроительной деятельности Российской Федерации, проведено обучение государственных заказчиков, разработаны информационные системы управления проектами государственных заказчиков;</w:t>
      </w:r>
    </w:p>
    <w:p>
      <w:pPr>
        <w:pStyle w:val="0"/>
        <w:spacing w:before="200" w:line-rule="auto"/>
        <w:ind w:firstLine="540"/>
        <w:jc w:val="both"/>
      </w:pPr>
      <w:r>
        <w:rPr>
          <w:sz w:val="20"/>
        </w:rPr>
        <w:t xml:space="preserve">проведено импортозамещение за счет внедрения в строительной отрасли и жилищно-коммунальном хозяйстве российского программного обеспечения;</w:t>
      </w:r>
    </w:p>
    <w:p>
      <w:pPr>
        <w:pStyle w:val="0"/>
        <w:spacing w:before="200" w:line-rule="auto"/>
        <w:ind w:firstLine="540"/>
        <w:jc w:val="both"/>
      </w:pPr>
      <w:r>
        <w:rPr>
          <w:sz w:val="20"/>
        </w:rPr>
        <w:t xml:space="preserve">в единой информационной системе жилищного строительства внедрены алгоритмы искусственного интеллекта и нейронные сети, позволяющие осуществлять оценку и принимать решения относительно выбора застройщика на базе подаваемой финансовой отчетности;</w:t>
      </w:r>
    </w:p>
    <w:p>
      <w:pPr>
        <w:pStyle w:val="0"/>
        <w:spacing w:before="200" w:line-rule="auto"/>
        <w:ind w:firstLine="540"/>
        <w:jc w:val="both"/>
      </w:pPr>
      <w:r>
        <w:rPr>
          <w:sz w:val="20"/>
        </w:rPr>
        <w:t xml:space="preserve">созданы "цифровые двойники" объектов капитального строительства, используемые на всех этапах жизненного цикла таких объектов;</w:t>
      </w:r>
    </w:p>
    <w:p>
      <w:pPr>
        <w:pStyle w:val="0"/>
        <w:spacing w:before="200" w:line-rule="auto"/>
        <w:ind w:firstLine="540"/>
        <w:jc w:val="both"/>
      </w:pPr>
      <w:r>
        <w:rPr>
          <w:sz w:val="20"/>
        </w:rPr>
        <w:t xml:space="preserve">50 процентов многоквартирных домов оснащены интеллектуальными системами общедомового учета ресурсов;</w:t>
      </w:r>
    </w:p>
    <w:p>
      <w:pPr>
        <w:pStyle w:val="0"/>
        <w:spacing w:before="200" w:line-rule="auto"/>
        <w:ind w:firstLine="540"/>
        <w:jc w:val="both"/>
      </w:pPr>
      <w:r>
        <w:rPr>
          <w:sz w:val="20"/>
        </w:rPr>
        <w:t xml:space="preserve">100 процентов диспетчерских служб муниципальных районов и городских округов подключены к системам мониторинга инцидентов и аварий на объектах жилищно-коммунального хозяйства;</w:t>
      </w:r>
    </w:p>
    <w:p>
      <w:pPr>
        <w:pStyle w:val="0"/>
        <w:spacing w:before="200" w:line-rule="auto"/>
        <w:ind w:firstLine="540"/>
        <w:jc w:val="both"/>
      </w:pPr>
      <w:r>
        <w:rPr>
          <w:sz w:val="20"/>
        </w:rPr>
        <w:t xml:space="preserve">80 процентов общих собраний собственников помещений в многоквартирных домах проводятся посредством электронного голосования;</w:t>
      </w:r>
    </w:p>
    <w:p>
      <w:pPr>
        <w:pStyle w:val="0"/>
        <w:spacing w:before="200" w:line-rule="auto"/>
        <w:ind w:firstLine="540"/>
        <w:jc w:val="both"/>
      </w:pPr>
      <w:r>
        <w:rPr>
          <w:sz w:val="20"/>
        </w:rPr>
        <w:t xml:space="preserve">внедрены разработанные информационно-телекоммуникационные сервисы в сфере обращения с отходами строительства и сноса;</w:t>
      </w:r>
    </w:p>
    <w:p>
      <w:pPr>
        <w:pStyle w:val="0"/>
        <w:spacing w:before="200" w:line-rule="auto"/>
        <w:ind w:firstLine="540"/>
        <w:jc w:val="both"/>
      </w:pPr>
      <w:r>
        <w:rPr>
          <w:sz w:val="20"/>
        </w:rPr>
        <w:t xml:space="preserve">внедрены технологии информационного моделирования не только на объектах капитального строительства, финансирование которых осуществляется с привлечением средств бюджетов бюджетной системы Российской Федерации, но и на объектах капитального строительства, реализуемых за счет привлеченных инвестиций;</w:t>
      </w:r>
    </w:p>
    <w:p>
      <w:pPr>
        <w:pStyle w:val="0"/>
        <w:spacing w:before="200" w:line-rule="auto"/>
        <w:ind w:firstLine="540"/>
        <w:jc w:val="both"/>
      </w:pPr>
      <w:r>
        <w:rPr>
          <w:sz w:val="20"/>
        </w:rPr>
        <w:t xml:space="preserve">выведены на единый портал государственных и муниципальных услуг и региональные порталы государственных и муниципальных услуг все государственные услуги (сервисы) и функции в отрасли строительства и сфере жилищно-коммунального хозяйства.</w:t>
      </w:r>
    </w:p>
    <w:p>
      <w:pPr>
        <w:pStyle w:val="0"/>
        <w:jc w:val="both"/>
      </w:pPr>
      <w:r>
        <w:rPr>
          <w:sz w:val="20"/>
        </w:rPr>
      </w:r>
    </w:p>
    <w:p>
      <w:pPr>
        <w:pStyle w:val="2"/>
        <w:outlineLvl w:val="1"/>
        <w:jc w:val="center"/>
      </w:pPr>
      <w:r>
        <w:rPr>
          <w:sz w:val="20"/>
        </w:rPr>
        <w:t xml:space="preserve">XI. Взаимодействие со смежными отраслями</w:t>
      </w:r>
    </w:p>
    <w:p>
      <w:pPr>
        <w:pStyle w:val="0"/>
        <w:jc w:val="both"/>
      </w:pPr>
      <w:r>
        <w:rPr>
          <w:sz w:val="20"/>
        </w:rPr>
      </w:r>
    </w:p>
    <w:p>
      <w:pPr>
        <w:pStyle w:val="0"/>
        <w:ind w:firstLine="540"/>
        <w:jc w:val="both"/>
      </w:pPr>
      <w:r>
        <w:rPr>
          <w:sz w:val="20"/>
        </w:rPr>
        <w:t xml:space="preserve">Развитие отраслей строительства и жилищно-коммунального хозяйства во многом определяется развитием ряда обеспечивающих отраслей и в то же время оказывает значительное влияние на все сферы экономики. В связи с этим Стратегия взаимоувязана со стратегическими документами смежных отраслей экономики - энергетики, транспорта, промышленности и других.</w:t>
      </w:r>
    </w:p>
    <w:p>
      <w:pPr>
        <w:pStyle w:val="0"/>
        <w:jc w:val="both"/>
      </w:pPr>
      <w:r>
        <w:rPr>
          <w:sz w:val="20"/>
        </w:rPr>
      </w:r>
    </w:p>
    <w:p>
      <w:pPr>
        <w:pStyle w:val="2"/>
        <w:outlineLvl w:val="2"/>
        <w:jc w:val="center"/>
      </w:pPr>
      <w:r>
        <w:rPr>
          <w:sz w:val="20"/>
        </w:rPr>
        <w:t xml:space="preserve">Энергетика</w:t>
      </w:r>
    </w:p>
    <w:p>
      <w:pPr>
        <w:pStyle w:val="0"/>
        <w:jc w:val="both"/>
      </w:pPr>
      <w:r>
        <w:rPr>
          <w:sz w:val="20"/>
        </w:rPr>
      </w:r>
    </w:p>
    <w:p>
      <w:pPr>
        <w:pStyle w:val="0"/>
        <w:ind w:firstLine="540"/>
        <w:jc w:val="both"/>
      </w:pPr>
      <w:r>
        <w:rPr>
          <w:sz w:val="20"/>
        </w:rPr>
        <w:t xml:space="preserve">Задачи развития строительной отрасли и жилищно-коммунального хозяйства требуют синхронизации с развитием энергетической отрасли. Процесс строительства требует обеспечения энергоресурсами, соответственно, спрос на них увеличится при увеличении объемов строительства, что требует своевременного наращивания мощностей в районах застройки. Энергетической стратегией в качестве приоритетной задачи предусмотрено первоочередное обеспечение энерго-, газо- и электроснабжением земельных участков, вовлекаемых в оборот для жилищного строительства.</w:t>
      </w:r>
    </w:p>
    <w:p>
      <w:pPr>
        <w:pStyle w:val="0"/>
        <w:spacing w:before="200" w:line-rule="auto"/>
        <w:ind w:firstLine="540"/>
        <w:jc w:val="both"/>
      </w:pPr>
      <w:r>
        <w:rPr>
          <w:sz w:val="20"/>
        </w:rPr>
        <w:t xml:space="preserve">Мероприятия Стратегии в части перехода на более экологичные виды топлива и повышения энергоэффективности жилья также согласуются с Энергетической </w:t>
      </w:r>
      <w:hyperlink w:history="0" r:id="rId64" w:tooltip="Распоряжение Правительства РФ от 09.06.2020 N 1523-р (ред. от 15.02.2025) &lt;Об утверждении Энергетической стратегии Российской Федерации на период до 2035 года&gt; ------------ Утратил силу или отменен {КонсультантПлюс}">
        <w:r>
          <w:rPr>
            <w:sz w:val="20"/>
            <w:color w:val="0000ff"/>
          </w:rPr>
          <w:t xml:space="preserve">стратегией</w:t>
        </w:r>
      </w:hyperlink>
      <w:r>
        <w:rPr>
          <w:sz w:val="20"/>
        </w:rPr>
        <w:t xml:space="preserve">, ключевыми задачами которой являются развитие энергосбережения и повышение энергетической эффективности в отраслях топливно-энергетического комплекса, а также повышение уровня газификации регионов Российской Федерации и доведение его до 82,9 процента к 2035 году.</w:t>
      </w:r>
    </w:p>
    <w:p>
      <w:pPr>
        <w:pStyle w:val="0"/>
        <w:spacing w:before="200" w:line-rule="auto"/>
        <w:ind w:firstLine="540"/>
        <w:jc w:val="both"/>
      </w:pPr>
      <w:r>
        <w:rPr>
          <w:sz w:val="20"/>
        </w:rPr>
        <w:t xml:space="preserve">В свою очередь, реализация мероприятий Стратегии, направленных на оптимизацию, административную трансформацию и цифровизацию процедур создания объектов капитального строительства, позволит ускорить строительство объектов энергетической инфраструктуры благодаря ускорению инвестиционно-строительного цикла.</w:t>
      </w:r>
    </w:p>
    <w:p>
      <w:pPr>
        <w:pStyle w:val="0"/>
        <w:jc w:val="both"/>
      </w:pPr>
      <w:r>
        <w:rPr>
          <w:sz w:val="20"/>
        </w:rPr>
      </w:r>
    </w:p>
    <w:p>
      <w:pPr>
        <w:pStyle w:val="2"/>
        <w:outlineLvl w:val="2"/>
        <w:jc w:val="center"/>
      </w:pPr>
      <w:r>
        <w:rPr>
          <w:sz w:val="20"/>
        </w:rPr>
        <w:t xml:space="preserve">Информационные технологии и связь</w:t>
      </w:r>
    </w:p>
    <w:p>
      <w:pPr>
        <w:pStyle w:val="0"/>
        <w:jc w:val="both"/>
      </w:pPr>
      <w:r>
        <w:rPr>
          <w:sz w:val="20"/>
        </w:rPr>
      </w:r>
    </w:p>
    <w:p>
      <w:pPr>
        <w:pStyle w:val="0"/>
        <w:ind w:firstLine="540"/>
        <w:jc w:val="both"/>
      </w:pPr>
      <w:r>
        <w:rPr>
          <w:sz w:val="20"/>
        </w:rPr>
        <w:t xml:space="preserve">Задачи сокращения инвестиционно-строительного цикла, цифровой трансформации отраслей строительства и жилищно-коммунального хозяйства должны быть обеспечены соответствующим уровнем развития информационных технологий, связи, информационной безопасности. Масштабная цифровая трансформация также требует принятия мер, направленных на стимулирование создания новых и развитие существующих производств отечественного телекоммуникационного оборудования, формирует потребность в кадрах и развитии IT-индустрии в целом.</w:t>
      </w:r>
    </w:p>
    <w:p>
      <w:pPr>
        <w:pStyle w:val="0"/>
        <w:jc w:val="both"/>
      </w:pPr>
      <w:r>
        <w:rPr>
          <w:sz w:val="20"/>
        </w:rPr>
      </w:r>
    </w:p>
    <w:p>
      <w:pPr>
        <w:pStyle w:val="2"/>
        <w:outlineLvl w:val="2"/>
        <w:jc w:val="center"/>
      </w:pPr>
      <w:r>
        <w:rPr>
          <w:sz w:val="20"/>
        </w:rPr>
        <w:t xml:space="preserve">Сельское хозяйство</w:t>
      </w:r>
    </w:p>
    <w:p>
      <w:pPr>
        <w:pStyle w:val="0"/>
        <w:jc w:val="both"/>
      </w:pPr>
      <w:r>
        <w:rPr>
          <w:sz w:val="20"/>
        </w:rPr>
      </w:r>
    </w:p>
    <w:p>
      <w:pPr>
        <w:pStyle w:val="0"/>
        <w:ind w:firstLine="540"/>
        <w:jc w:val="both"/>
      </w:pPr>
      <w:r>
        <w:rPr>
          <w:sz w:val="20"/>
        </w:rPr>
        <w:t xml:space="preserve">Развитие сельского хозяйства и сельских территорий является одним из приоритетных направлений государственной социально-экономической политики. Значительный вклад в это развитие вносит строительная отрасль. Поддержка индивидуального жилищного строительства, инфраструктурное обеспечение территорий застройки и формирование комфортной среды, реализуемые в рамках Стратегии, позволят повысить интенсивность освоения сельских территорий.</w:t>
      </w:r>
    </w:p>
    <w:p>
      <w:pPr>
        <w:pStyle w:val="0"/>
        <w:spacing w:before="200" w:line-rule="auto"/>
        <w:ind w:firstLine="540"/>
        <w:jc w:val="both"/>
      </w:pPr>
      <w:r>
        <w:rPr>
          <w:sz w:val="20"/>
        </w:rPr>
        <w:t xml:space="preserve">Дополнительно приобретение или строительство жилья в сельской местности стимулируется реализацией уже действующих ипотечных программ ("Сельская ипотека"), а также расширением ипотечного кредитования на индивидуальное жилищное строительство.</w:t>
      </w:r>
    </w:p>
    <w:p>
      <w:pPr>
        <w:pStyle w:val="0"/>
        <w:spacing w:before="200" w:line-rule="auto"/>
        <w:ind w:firstLine="540"/>
        <w:jc w:val="both"/>
      </w:pPr>
      <w:r>
        <w:rPr>
          <w:sz w:val="20"/>
        </w:rPr>
        <w:t xml:space="preserve">Вместе с тем важно одновременно решать задачи развития агропромышленного комплекса, создания новых рабочих мест для жителей сельских территорий. Повышению привлекательности инвестиционных проектов агропромышленного комплекса способствуют в том числе меры по сокращению инвестиционно-строительного цикла, повышению эффективности строительства.</w:t>
      </w:r>
    </w:p>
    <w:p>
      <w:pPr>
        <w:pStyle w:val="0"/>
        <w:jc w:val="both"/>
      </w:pPr>
      <w:r>
        <w:rPr>
          <w:sz w:val="20"/>
        </w:rPr>
      </w:r>
    </w:p>
    <w:bookmarkStart w:id="1273" w:name="P1273"/>
    <w:bookmarkEnd w:id="1273"/>
    <w:p>
      <w:pPr>
        <w:pStyle w:val="2"/>
        <w:outlineLvl w:val="1"/>
        <w:jc w:val="center"/>
      </w:pPr>
      <w:r>
        <w:rPr>
          <w:sz w:val="20"/>
        </w:rPr>
        <w:t xml:space="preserve">XII. Ресурсное обеспечение реализации Стратегии</w:t>
      </w:r>
    </w:p>
    <w:p>
      <w:pPr>
        <w:pStyle w:val="0"/>
        <w:jc w:val="both"/>
      </w:pPr>
      <w:r>
        <w:rPr>
          <w:sz w:val="20"/>
        </w:rPr>
      </w:r>
    </w:p>
    <w:p>
      <w:pPr>
        <w:pStyle w:val="0"/>
        <w:ind w:firstLine="540"/>
        <w:jc w:val="both"/>
      </w:pPr>
      <w:r>
        <w:rPr>
          <w:sz w:val="20"/>
        </w:rPr>
        <w:t xml:space="preserve">Реализация Стратегии осуществляется за счет средств всех уровней бюджетной системы Российской Федерации, за счет финансовых мер государственной поддержки в рамках комплекса инструментов, предусмотренных федеральным проектом "Инфраструктурное меню", а также средств внебюджетных источников (тариф, плата за подключение (технологическое присоединение) к сетям инженерно-технического обеспечения), в том числе с использованием механизма государственно-частного партнерства.</w:t>
      </w:r>
    </w:p>
    <w:p>
      <w:pPr>
        <w:pStyle w:val="0"/>
        <w:spacing w:before="200" w:line-rule="auto"/>
        <w:ind w:firstLine="540"/>
        <w:jc w:val="both"/>
      </w:pPr>
      <w:r>
        <w:rPr>
          <w:sz w:val="20"/>
        </w:rPr>
        <w:t xml:space="preserve">Размер средств консолидированного бюджета, необходимый для реализации Стратегии, ежегодно определяется и корректируется в рамках бюджетного процесса. Основными прямыми механизмами реализации Стратегии являются соответствующие мероприятия, реализуемые в рамках национальных проектов, федеральных проектов, государственных программ и непрограммных мероприятий, с учетом их финансового обеспечения на период реализации Стратегии.</w:t>
      </w:r>
    </w:p>
    <w:p>
      <w:pPr>
        <w:pStyle w:val="0"/>
        <w:spacing w:before="200" w:line-rule="auto"/>
        <w:ind w:firstLine="540"/>
        <w:jc w:val="both"/>
      </w:pPr>
      <w:r>
        <w:rPr>
          <w:sz w:val="20"/>
        </w:rPr>
        <w:t xml:space="preserve">Для обеспечения строительства в 2021 - 2030 годах 1 млрд. кв. метров жилья необходимы более 75 трлн. рублей частных инвестиций и значительный объем инвестиций в создание инфраструктуры для жилищного строительства. С учетом того, что не менее 50 процентов жилья приобретается в ипотеку, значительную часть этих средств обеспечит ипотечное кредитование.</w:t>
      </w:r>
    </w:p>
    <w:p>
      <w:pPr>
        <w:pStyle w:val="0"/>
        <w:spacing w:before="200" w:line-rule="auto"/>
        <w:ind w:firstLine="540"/>
        <w:jc w:val="both"/>
      </w:pPr>
      <w:r>
        <w:rPr>
          <w:sz w:val="20"/>
        </w:rPr>
        <w:t xml:space="preserve">В настоящее время действует 4 программы льготной ипотеки - "Льготная ипотека на новостройки", "Семейная ипотека", "Дальневосточная и арктическая ипотека" и "Льготная ипотека для IT-специалистов". Общие расходы бюджета на реализацию этих программ зависят от динамики ключевой ставки.</w:t>
      </w:r>
    </w:p>
    <w:p>
      <w:pPr>
        <w:pStyle w:val="0"/>
        <w:jc w:val="both"/>
      </w:pPr>
      <w:r>
        <w:rPr>
          <w:sz w:val="20"/>
        </w:rPr>
        <w:t xml:space="preserve">(в ред. </w:t>
      </w:r>
      <w:hyperlink w:history="0" r:id="rId65" w:tooltip="Постановление Правительства РФ от 29.11.2023 N 2023 (ред. от 17.05.2024) &quot;О внесении изменений в некоторые акты Правительства Российской Федерации по вопросам жилищного (ипотечного) кредитования граждан Российской Федерации&quot; {КонсультантПлюс}">
        <w:r>
          <w:rPr>
            <w:sz w:val="20"/>
            <w:color w:val="0000ff"/>
          </w:rPr>
          <w:t xml:space="preserve">Постановления</w:t>
        </w:r>
      </w:hyperlink>
      <w:r>
        <w:rPr>
          <w:sz w:val="20"/>
        </w:rPr>
        <w:t xml:space="preserve"> Правительства РФ от 29.11.2023 N 2023)</w:t>
      </w:r>
    </w:p>
    <w:p>
      <w:pPr>
        <w:pStyle w:val="0"/>
        <w:spacing w:before="200" w:line-rule="auto"/>
        <w:ind w:firstLine="540"/>
        <w:jc w:val="both"/>
      </w:pPr>
      <w:r>
        <w:rPr>
          <w:sz w:val="20"/>
        </w:rPr>
        <w:t xml:space="preserve">Также граждане, у которых в период 2019 - 2023 годов родился третий или последующий ребенок, имеют право на получение выплаты в размере до 450 тыс. рублей на цели погашения ипотечных кредитов (займов), кредитный договор (договор займа) о предоставлении которых заключен до 1 июля 2024 г.</w:t>
      </w:r>
    </w:p>
    <w:p>
      <w:pPr>
        <w:pStyle w:val="0"/>
        <w:spacing w:before="200" w:line-rule="auto"/>
        <w:ind w:firstLine="540"/>
        <w:jc w:val="both"/>
      </w:pPr>
      <w:r>
        <w:rPr>
          <w:sz w:val="20"/>
        </w:rPr>
        <w:t xml:space="preserve">В случае реализации негативного макроэкономического сценария параметры отдельных ипотечных программ с государственной поддержкой могут быть пересмотрены, в том числе продлен срок их действия.</w:t>
      </w:r>
    </w:p>
    <w:p>
      <w:pPr>
        <w:pStyle w:val="0"/>
        <w:spacing w:before="200" w:line-rule="auto"/>
        <w:ind w:firstLine="540"/>
        <w:jc w:val="both"/>
      </w:pPr>
      <w:r>
        <w:rPr>
          <w:sz w:val="20"/>
        </w:rPr>
        <w:t xml:space="preserve">Важным для успешной реализации Стратегии является обеспечение макроэкономической стабильности и роста доходов населения в соответствии с базовыми прогнозами Министерства экономического развития Российской Федерации и Центрального банка Российской Федерации (не менее чем на 2,3 процента ежегодно с 2024 года).</w:t>
      </w:r>
    </w:p>
    <w:p>
      <w:pPr>
        <w:pStyle w:val="0"/>
        <w:spacing w:before="200" w:line-rule="auto"/>
        <w:ind w:firstLine="540"/>
        <w:jc w:val="both"/>
      </w:pPr>
      <w:r>
        <w:rPr>
          <w:sz w:val="20"/>
        </w:rPr>
        <w:t xml:space="preserve">При этом государство и институты развития должны обеспечить необходимый уровень инфраструктурного развития.</w:t>
      </w:r>
    </w:p>
    <w:p>
      <w:pPr>
        <w:pStyle w:val="0"/>
        <w:spacing w:before="200" w:line-rule="auto"/>
        <w:ind w:firstLine="540"/>
        <w:jc w:val="both"/>
      </w:pPr>
      <w:r>
        <w:rPr>
          <w:sz w:val="20"/>
        </w:rPr>
        <w:t xml:space="preserve">Важным инструментом для выполнения запланированных целей и приоритетов Стратегии является достижение финансовой сбалансированности федеральной адресной инвестиционной программы, которая консолидирует в себе расходы по направлениям капитальных вложений.</w:t>
      </w:r>
    </w:p>
    <w:p>
      <w:pPr>
        <w:pStyle w:val="0"/>
        <w:spacing w:before="200" w:line-rule="auto"/>
        <w:ind w:firstLine="540"/>
        <w:jc w:val="both"/>
      </w:pPr>
      <w:r>
        <w:rPr>
          <w:sz w:val="20"/>
        </w:rPr>
        <w:t xml:space="preserve">Использование механизмов государственно-частного партнерства при реализации проектов в сфере жилищно-коммунального хозяйства имеет большие перспективы для развития отрасли. Инструмент концессий позволяет не только привлечь необходимые инвестиции, но и комплексно развивать инфраструктурные объекты, обеспечивая высокий уровень услуг для населения.</w:t>
      </w:r>
    </w:p>
    <w:p>
      <w:pPr>
        <w:pStyle w:val="0"/>
        <w:spacing w:before="200" w:line-rule="auto"/>
        <w:ind w:firstLine="540"/>
        <w:jc w:val="both"/>
      </w:pPr>
      <w:r>
        <w:rPr>
          <w:sz w:val="20"/>
        </w:rPr>
        <w:t xml:space="preserve">Кроме того, мероприятия по модернизации, реконструкции, новому строительству объектов коммунальной инфраструктуры (в том числе подготовка проектной документации), подготовке к отопительному периоду, а также возмещению выпадающих доходов ресурсоснабжающих организаций осуществляются за счет бюджетов бюджетной системы Российской Федерации.</w:t>
      </w:r>
    </w:p>
    <w:p>
      <w:pPr>
        <w:pStyle w:val="0"/>
        <w:spacing w:before="200" w:line-rule="auto"/>
        <w:ind w:firstLine="540"/>
        <w:jc w:val="both"/>
      </w:pPr>
      <w:r>
        <w:rPr>
          <w:sz w:val="20"/>
        </w:rPr>
        <w:t xml:space="preserve">Необходимый объем инвестиций на ускоренное обновление сетевого хозяйства составляет более 9,1 трлн. рублей до 2030 года, на мероприятия по замене инфраструктуры с износом выше 60 процентов - более 4 трлн. рублей сверх инвестиций, предусмотренных в тарифах на реализацию инвестиционных программ.</w:t>
      </w:r>
    </w:p>
    <w:p>
      <w:pPr>
        <w:pStyle w:val="0"/>
        <w:spacing w:before="200" w:line-rule="auto"/>
        <w:ind w:firstLine="540"/>
        <w:jc w:val="both"/>
      </w:pPr>
      <w:r>
        <w:rPr>
          <w:sz w:val="20"/>
        </w:rPr>
        <w:t xml:space="preserve">Одним из инструментов повышения энергетической эффективности сферы жилищно-коммунального хозяйства, снижения потерь на сетях теплоснабжения, водоснабжения и водоотведения, снижения аварийности в условиях ежегодной деградации коммунальной инфраструктуры будет являться программа модернизации коммунальной инфраструктуры на период 2023 - 2027 годов с прогнозом до 2030 года, финансирование которой будет осуществляться за счет как бюджетных, так и внебюджетных источников.</w:t>
      </w:r>
    </w:p>
    <w:p>
      <w:pPr>
        <w:pStyle w:val="0"/>
        <w:spacing w:before="200" w:line-rule="auto"/>
        <w:ind w:firstLine="540"/>
        <w:jc w:val="both"/>
      </w:pPr>
      <w:r>
        <w:rPr>
          <w:sz w:val="20"/>
        </w:rPr>
        <w:t xml:space="preserve">Развитие инфраструктуры регионов будет также обеспечиваться за счет других мер государственной поддержки комплекса инструментов, предусмотренных федеральным проектом "Инфраструктурное меню", позволяющих направлять возвратные бюджетные средства на реализацию экономически эффективных и социально значимых проектов.</w:t>
      </w:r>
    </w:p>
    <w:p>
      <w:pPr>
        <w:pStyle w:val="0"/>
        <w:spacing w:before="200" w:line-rule="auto"/>
        <w:ind w:firstLine="540"/>
        <w:jc w:val="both"/>
      </w:pPr>
      <w:r>
        <w:rPr>
          <w:sz w:val="20"/>
        </w:rPr>
        <w:t xml:space="preserve">Основными инструментами, предусмотренными федеральным проектом "Инфраструктурное меню", являются:</w:t>
      </w:r>
    </w:p>
    <w:p>
      <w:pPr>
        <w:pStyle w:val="0"/>
        <w:spacing w:before="200" w:line-rule="auto"/>
        <w:ind w:firstLine="540"/>
        <w:jc w:val="both"/>
      </w:pPr>
      <w:r>
        <w:rPr>
          <w:sz w:val="20"/>
        </w:rPr>
        <w:t xml:space="preserve">инфраструктурные бюджетные кредиты;</w:t>
      </w:r>
    </w:p>
    <w:p>
      <w:pPr>
        <w:pStyle w:val="0"/>
        <w:spacing w:before="200" w:line-rule="auto"/>
        <w:ind w:firstLine="540"/>
        <w:jc w:val="both"/>
      </w:pPr>
      <w:r>
        <w:rPr>
          <w:sz w:val="20"/>
        </w:rPr>
        <w:t xml:space="preserve">инфраструктурные облигации;</w:t>
      </w:r>
    </w:p>
    <w:p>
      <w:pPr>
        <w:pStyle w:val="0"/>
        <w:spacing w:before="200" w:line-rule="auto"/>
        <w:ind w:firstLine="540"/>
        <w:jc w:val="both"/>
      </w:pPr>
      <w:r>
        <w:rPr>
          <w:sz w:val="20"/>
        </w:rPr>
        <w:t xml:space="preserve">предоставление средств Фонда национального благосостояния публично-правовой компании "Фонд развития территорий";</w:t>
      </w:r>
    </w:p>
    <w:p>
      <w:pPr>
        <w:pStyle w:val="0"/>
        <w:jc w:val="both"/>
      </w:pPr>
      <w:r>
        <w:rPr>
          <w:sz w:val="20"/>
        </w:rPr>
        <w:t xml:space="preserve">(в ред. </w:t>
      </w:r>
      <w:hyperlink w:history="0" r:id="rId66" w:tooltip="Постановление Правительства РФ от 20.09.2023 N 15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20.09.2023 N 1529)</w:t>
      </w:r>
    </w:p>
    <w:p>
      <w:pPr>
        <w:pStyle w:val="0"/>
        <w:spacing w:before="200" w:line-rule="auto"/>
        <w:ind w:firstLine="540"/>
        <w:jc w:val="both"/>
      </w:pPr>
      <w:r>
        <w:rPr>
          <w:sz w:val="20"/>
        </w:rPr>
        <w:t xml:space="preserve">субсидирование процентной ставки по кредитам, выданным на досрочное исполнение контрактов;</w:t>
      </w:r>
    </w:p>
    <w:p>
      <w:pPr>
        <w:pStyle w:val="0"/>
        <w:spacing w:before="200" w:line-rule="auto"/>
        <w:ind w:firstLine="540"/>
        <w:jc w:val="both"/>
      </w:pPr>
      <w:r>
        <w:rPr>
          <w:sz w:val="20"/>
        </w:rPr>
        <w:t xml:space="preserve">реструктуризация бюджетных кредитов в 2020 - 2021 годах в целях инфраструктурной поддержки реализации новых инвестиционных проектов;</w:t>
      </w:r>
    </w:p>
    <w:p>
      <w:pPr>
        <w:pStyle w:val="0"/>
        <w:spacing w:before="200" w:line-rule="auto"/>
        <w:ind w:firstLine="540"/>
        <w:jc w:val="both"/>
      </w:pPr>
      <w:r>
        <w:rPr>
          <w:sz w:val="20"/>
        </w:rPr>
        <w:t xml:space="preserve">поддержка проектов по строительству, модернизации и реконструкции объектов инфраструктуры со стороны государственной корпорации развития "ВЭБ.РФ";</w:t>
      </w:r>
    </w:p>
    <w:p>
      <w:pPr>
        <w:pStyle w:val="0"/>
        <w:spacing w:before="200" w:line-rule="auto"/>
        <w:ind w:firstLine="540"/>
        <w:jc w:val="both"/>
      </w:pPr>
      <w:r>
        <w:rPr>
          <w:sz w:val="20"/>
        </w:rPr>
        <w:t xml:space="preserve">программа модернизации коммунальной инфраструктуры на период 2023 - 2027 годов с прогнозом до 2030 года.</w:t>
      </w:r>
    </w:p>
    <w:p>
      <w:pPr>
        <w:pStyle w:val="0"/>
        <w:jc w:val="both"/>
      </w:pPr>
      <w:r>
        <w:rPr>
          <w:sz w:val="20"/>
        </w:rPr>
      </w:r>
    </w:p>
    <w:p>
      <w:pPr>
        <w:pStyle w:val="2"/>
        <w:outlineLvl w:val="1"/>
        <w:jc w:val="center"/>
      </w:pPr>
      <w:r>
        <w:rPr>
          <w:sz w:val="20"/>
        </w:rPr>
        <w:t xml:space="preserve">XIII. Мониторинг реализации Стратегии</w:t>
      </w:r>
    </w:p>
    <w:p>
      <w:pPr>
        <w:pStyle w:val="0"/>
        <w:jc w:val="both"/>
      </w:pPr>
      <w:r>
        <w:rPr>
          <w:sz w:val="20"/>
        </w:rPr>
      </w:r>
    </w:p>
    <w:p>
      <w:pPr>
        <w:pStyle w:val="0"/>
        <w:ind w:firstLine="540"/>
        <w:jc w:val="both"/>
      </w:pPr>
      <w:r>
        <w:rPr>
          <w:sz w:val="20"/>
        </w:rPr>
        <w:t xml:space="preserve">Координация и методическое обеспечение разработки и корректировки Стратегии обеспечиваются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Реализация Стратегии осуществляется федеральными органами исполнительной власти, исполнительными органами субъектов Российской Федерации, органами местного самоуправления, институтами развития и научными организациями, профессиональным и бизнес-сообществом строительной отрасли в соответствии с полномочиями в установленной сфере деятельности.</w:t>
      </w:r>
    </w:p>
    <w:p>
      <w:pPr>
        <w:pStyle w:val="0"/>
        <w:jc w:val="both"/>
      </w:pPr>
      <w:r>
        <w:rPr>
          <w:sz w:val="20"/>
        </w:rPr>
        <w:t xml:space="preserve">(в ред. </w:t>
      </w:r>
      <w:hyperlink w:history="0" r:id="rId67" w:tooltip="Постановление Правительства РФ от 20.09.2023 N 15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20.09.2023 N 1529)</w:t>
      </w:r>
    </w:p>
    <w:p>
      <w:pPr>
        <w:pStyle w:val="0"/>
        <w:spacing w:before="200" w:line-rule="auto"/>
        <w:ind w:firstLine="540"/>
        <w:jc w:val="both"/>
      </w:pPr>
      <w:r>
        <w:rPr>
          <w:sz w:val="20"/>
        </w:rPr>
        <w:t xml:space="preserve">Участники реализации Стратегии представляют информацию о достигнутых или недостигнутых результатах (с обоснованием причин их недостижения) по форме и в сроки, которые утверждаются ведомственным актом Министерства строительства и жилищно-коммунального хозяйства Российской Федерации.</w:t>
      </w:r>
    </w:p>
    <w:p>
      <w:pPr>
        <w:pStyle w:val="0"/>
        <w:spacing w:before="200" w:line-rule="auto"/>
        <w:ind w:firstLine="540"/>
        <w:jc w:val="both"/>
      </w:pPr>
      <w:r>
        <w:rPr>
          <w:sz w:val="20"/>
        </w:rPr>
        <w:t xml:space="preserve">Мониторинг достижения целей, решения задач и выполнения мероприятий национальных проектов, содержащих результаты для строительной отрасли и жилищно-коммунального хозяйства, осуществляется на основе государственной автоматизированной информационной системы "Управление".</w:t>
      </w:r>
    </w:p>
    <w:p>
      <w:pPr>
        <w:pStyle w:val="0"/>
        <w:spacing w:before="200" w:line-rule="auto"/>
        <w:ind w:firstLine="540"/>
        <w:jc w:val="both"/>
      </w:pPr>
      <w:r>
        <w:rPr>
          <w:sz w:val="20"/>
        </w:rPr>
        <w:t xml:space="preserve">Выстраивание аналитически-прогнозной вертикали для отрасли позволит обеспечивать подробный анализ и получать сведения с детализацией до отдельных объектов капитального строительства.</w:t>
      </w:r>
    </w:p>
    <w:p>
      <w:pPr>
        <w:pStyle w:val="0"/>
        <w:spacing w:before="200" w:line-rule="auto"/>
        <w:ind w:firstLine="540"/>
        <w:jc w:val="both"/>
      </w:pPr>
      <w:r>
        <w:rPr>
          <w:sz w:val="20"/>
        </w:rPr>
        <w:t xml:space="preserve">Динамику расширения использования технологий информационного моделирования и интенсификации строительства новых объектов капитального строительства в целом достоверно отражает государственная информационная система "Единый государственный реестр заключений экспертизы проектной документации объектов капитального строительства".</w:t>
      </w:r>
    </w:p>
    <w:p>
      <w:pPr>
        <w:pStyle w:val="0"/>
        <w:spacing w:before="200" w:line-rule="auto"/>
        <w:ind w:firstLine="540"/>
        <w:jc w:val="both"/>
      </w:pPr>
      <w:r>
        <w:rPr>
          <w:sz w:val="20"/>
        </w:rPr>
        <w:t xml:space="preserve">Статистические сведения, в том числе по динамике ввода жилья, обеспечиваются работой единой информационной системы жилищного строительства.</w:t>
      </w:r>
    </w:p>
    <w:p>
      <w:pPr>
        <w:pStyle w:val="0"/>
        <w:spacing w:before="200" w:line-rule="auto"/>
        <w:ind w:firstLine="540"/>
        <w:jc w:val="both"/>
      </w:pPr>
      <w:r>
        <w:rPr>
          <w:sz w:val="20"/>
        </w:rPr>
        <w:t xml:space="preserve">Оперативная информация, позволяющая обеспечивать государственный строительный контроль, содержится в информационно-аналитической системе управления инвестиционно-строительными проектами.</w:t>
      </w:r>
    </w:p>
    <w:p>
      <w:pPr>
        <w:pStyle w:val="0"/>
        <w:spacing w:before="200" w:line-rule="auto"/>
        <w:ind w:firstLine="540"/>
        <w:jc w:val="both"/>
      </w:pPr>
      <w:r>
        <w:rPr>
          <w:sz w:val="20"/>
        </w:rPr>
        <w:t xml:space="preserve">Источником получения сведений на стадии эксплуатации объектов выступает автоматизированная информационная система публично-правовой компании "Фонд развития территорий".</w:t>
      </w:r>
    </w:p>
    <w:p>
      <w:pPr>
        <w:pStyle w:val="0"/>
        <w:jc w:val="both"/>
      </w:pPr>
      <w:r>
        <w:rPr>
          <w:sz w:val="20"/>
        </w:rPr>
        <w:t xml:space="preserve">(в ред. </w:t>
      </w:r>
      <w:hyperlink w:history="0" r:id="rId68" w:tooltip="Постановление Правительства РФ от 20.09.2023 N 15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20.09.2023 N 1529)</w:t>
      </w:r>
    </w:p>
    <w:p>
      <w:pPr>
        <w:pStyle w:val="0"/>
        <w:spacing w:before="200" w:line-rule="auto"/>
        <w:ind w:firstLine="540"/>
        <w:jc w:val="both"/>
      </w:pPr>
      <w:r>
        <w:rPr>
          <w:sz w:val="20"/>
        </w:rPr>
        <w:t xml:space="preserve">Усиление контроля за ресурсной базой и стоимостью строительно-инвестиционного цикла осуществляется на базе федеральной информационной системы ценообразования в строительстве.</w:t>
      </w:r>
    </w:p>
    <w:p>
      <w:pPr>
        <w:pStyle w:val="0"/>
        <w:spacing w:before="200" w:line-rule="auto"/>
        <w:ind w:firstLine="540"/>
        <w:jc w:val="both"/>
      </w:pPr>
      <w:r>
        <w:rPr>
          <w:sz w:val="20"/>
        </w:rPr>
        <w:t xml:space="preserve">Показатели признания и расселения аварийного жилищного фонда в субъектах Российской Федерации размещаются в автоматизированной информационной системе публично-правовой компании "Фонд развития территорий".</w:t>
      </w:r>
    </w:p>
    <w:p>
      <w:pPr>
        <w:pStyle w:val="0"/>
        <w:jc w:val="both"/>
      </w:pPr>
      <w:r>
        <w:rPr>
          <w:sz w:val="20"/>
        </w:rPr>
        <w:t xml:space="preserve">(в ред. </w:t>
      </w:r>
      <w:hyperlink w:history="0" r:id="rId69" w:tooltip="Постановление Правительства РФ от 20.09.2023 N 15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20.09.2023 N 1529)</w:t>
      </w:r>
    </w:p>
    <w:p>
      <w:pPr>
        <w:pStyle w:val="0"/>
        <w:spacing w:before="200" w:line-rule="auto"/>
        <w:ind w:firstLine="540"/>
        <w:jc w:val="both"/>
      </w:pPr>
      <w:r>
        <w:rPr>
          <w:sz w:val="20"/>
        </w:rPr>
        <w:t xml:space="preserve">Источником получения данных также являются государственные информационные системы градостроительной деятельности субъектов Российской Федерации.</w:t>
      </w:r>
    </w:p>
    <w:p>
      <w:pPr>
        <w:pStyle w:val="0"/>
        <w:spacing w:before="200" w:line-rule="auto"/>
        <w:ind w:firstLine="540"/>
        <w:jc w:val="both"/>
      </w:pPr>
      <w:r>
        <w:rPr>
          <w:sz w:val="20"/>
        </w:rPr>
        <w:t xml:space="preserve">Обеспечение интеграции указанных систем и информационных систем в предмете ведения Федеральной службы государственной регистрации, кадастра и картографии, а также создание цифровых продуктов для принятия управленческих решений в градостроительной области и в сфере пространственного планирования на федеральном уровне позволят в последующем снизить длительность инвестиционно-строительного цикла, повысить эффективность государственной градостроительной политики и отражать в режиме реального времени статус объекта капитального строительства на всем протяжении его жизненного цикла.</w:t>
      </w:r>
    </w:p>
    <w:p>
      <w:pPr>
        <w:pStyle w:val="0"/>
        <w:spacing w:before="200" w:line-rule="auto"/>
        <w:ind w:firstLine="540"/>
        <w:jc w:val="both"/>
      </w:pPr>
      <w:r>
        <w:rPr>
          <w:sz w:val="20"/>
        </w:rPr>
        <w:t xml:space="preserve">Мониторинг и методика расчета значений целевых показателей Стратегии утверждаются Министерством строительства и жилищно-коммунального хозяйства Российской Федерации.</w:t>
      </w:r>
    </w:p>
    <w:p>
      <w:pPr>
        <w:pStyle w:val="0"/>
        <w:jc w:val="both"/>
      </w:pPr>
      <w:r>
        <w:rPr>
          <w:sz w:val="20"/>
        </w:rPr>
      </w:r>
    </w:p>
    <w:p>
      <w:pPr>
        <w:pStyle w:val="2"/>
        <w:outlineLvl w:val="1"/>
        <w:jc w:val="center"/>
      </w:pPr>
      <w:r>
        <w:rPr>
          <w:sz w:val="20"/>
        </w:rPr>
        <w:t xml:space="preserve">XIV. Сценарии и риски реализации Стратегии</w:t>
      </w:r>
    </w:p>
    <w:p>
      <w:pPr>
        <w:pStyle w:val="0"/>
        <w:jc w:val="both"/>
      </w:pPr>
      <w:r>
        <w:rPr>
          <w:sz w:val="20"/>
        </w:rPr>
      </w:r>
    </w:p>
    <w:p>
      <w:pPr>
        <w:pStyle w:val="0"/>
        <w:ind w:firstLine="540"/>
        <w:jc w:val="both"/>
      </w:pPr>
      <w:r>
        <w:rPr>
          <w:sz w:val="20"/>
        </w:rPr>
        <w:t xml:space="preserve">За основу долгосрочного прогнозирования динамики развития строительной отрасли Российской Федерации до 2030 года приняты среднесрочный и долгосрочный прогнозы Министерства экономического развития Российской Федерации.</w:t>
      </w:r>
    </w:p>
    <w:p>
      <w:pPr>
        <w:pStyle w:val="0"/>
        <w:spacing w:before="200" w:line-rule="auto"/>
        <w:ind w:firstLine="540"/>
        <w:jc w:val="both"/>
      </w:pPr>
      <w:r>
        <w:rPr>
          <w:sz w:val="20"/>
        </w:rPr>
        <w:t xml:space="preserve">На реализацию целей и задач Стратегии будут влиять параметры макроэкономической конъюнктуры, социальные и политические факторы, а также региональные и местные социально-экономические условия и особенности территорий Российской Федерации.</w:t>
      </w:r>
    </w:p>
    <w:p>
      <w:pPr>
        <w:pStyle w:val="0"/>
        <w:spacing w:before="200" w:line-rule="auto"/>
        <w:ind w:firstLine="540"/>
        <w:jc w:val="both"/>
      </w:pPr>
      <w:r>
        <w:rPr>
          <w:sz w:val="20"/>
        </w:rPr>
        <w:t xml:space="preserve">Согласно прогнозу социально-экономического развития Российской Федерации на период до 2036 года ожидается, что сохранится тренд на снижение уровня безработицы и увеличение реальных доходов населения за счет ускорения темпов экономического роста. Тенденции социально-экономического развития должны способствовать повышению спроса на строительные услуги, платежеспособного спроса на жилье, снижению доли расходов на жилищно-коммунальные услуги в потребительских расходах населения в среднем по России и повышению собираемости платы за жилищно-коммунальные услуги.</w:t>
      </w:r>
    </w:p>
    <w:p>
      <w:pPr>
        <w:pStyle w:val="0"/>
        <w:spacing w:before="200" w:line-rule="auto"/>
        <w:ind w:firstLine="540"/>
        <w:jc w:val="both"/>
      </w:pPr>
      <w:r>
        <w:rPr>
          <w:sz w:val="20"/>
        </w:rPr>
        <w:t xml:space="preserve">При этом проблема социального неравенства и региональной дифференциации доходов населения будет сохраняться, приоритет по социальной защите и государственной поддержке отдельных групп населения не утратит свою актуальность на весь период реализации Стратегии.</w:t>
      </w:r>
    </w:p>
    <w:p>
      <w:pPr>
        <w:pStyle w:val="0"/>
        <w:spacing w:before="200" w:line-rule="auto"/>
        <w:ind w:firstLine="540"/>
        <w:jc w:val="both"/>
      </w:pPr>
      <w:r>
        <w:rPr>
          <w:sz w:val="20"/>
        </w:rPr>
        <w:t xml:space="preserve">Значительное влияние на развитие строительной отрасли и сферы жилищно-коммунального хозяйства оказывают социальные факторы, включая задачи по социальной поддержке населения. Вопросы стоимости и доступности жилья, социальной инфраструктуры и жилищно-коммунальных услуг сохраняют свою значимость для населения и будут актуальны в долгосрочной перспективе.</w:t>
      </w:r>
    </w:p>
    <w:p>
      <w:pPr>
        <w:pStyle w:val="0"/>
        <w:spacing w:before="200" w:line-rule="auto"/>
        <w:ind w:firstLine="540"/>
        <w:jc w:val="both"/>
      </w:pPr>
      <w:r>
        <w:rPr>
          <w:sz w:val="20"/>
        </w:rPr>
        <w:t xml:space="preserve">Основными эффектами, ожидаемыми по итогам реализации мероприятий Стратегии, являются:</w:t>
      </w:r>
    </w:p>
    <w:p>
      <w:pPr>
        <w:pStyle w:val="0"/>
        <w:spacing w:before="200" w:line-rule="auto"/>
        <w:ind w:firstLine="540"/>
        <w:jc w:val="both"/>
      </w:pPr>
      <w:r>
        <w:rPr>
          <w:sz w:val="20"/>
        </w:rPr>
        <w:t xml:space="preserve">социальные эффекты:</w:t>
      </w:r>
    </w:p>
    <w:p>
      <w:pPr>
        <w:pStyle w:val="0"/>
        <w:spacing w:before="200" w:line-rule="auto"/>
        <w:ind w:firstLine="540"/>
        <w:jc w:val="both"/>
      </w:pPr>
      <w:r>
        <w:rPr>
          <w:sz w:val="20"/>
        </w:rPr>
        <w:t xml:space="preserve">улучшение жилищных условий граждан за счет повышения доступности жилья, развития жилищно-коммунальной сферы;</w:t>
      </w:r>
    </w:p>
    <w:p>
      <w:pPr>
        <w:pStyle w:val="0"/>
        <w:spacing w:before="200" w:line-rule="auto"/>
        <w:ind w:firstLine="540"/>
        <w:jc w:val="both"/>
      </w:pPr>
      <w:r>
        <w:rPr>
          <w:sz w:val="20"/>
        </w:rPr>
        <w:t xml:space="preserve">повышение комфортности городской среды за счет создания благоустроенных общественных пространств, благоустройства дворовых территорий;</w:t>
      </w:r>
    </w:p>
    <w:p>
      <w:pPr>
        <w:pStyle w:val="0"/>
        <w:spacing w:before="200" w:line-rule="auto"/>
        <w:ind w:firstLine="540"/>
        <w:jc w:val="both"/>
      </w:pPr>
      <w:r>
        <w:rPr>
          <w:sz w:val="20"/>
        </w:rPr>
        <w:t xml:space="preserve">повышение качества коммунальных услуг за счет модернизации коммунальной инфраструктуры, снижения потерь и ограничений в предоставлении коммунальных ресурсов, вызванных аварийными инцидентами, и привлечения внебюджетных источников финансирования в объекты коммунальной инфраструктуры;</w:t>
      </w:r>
    </w:p>
    <w:p>
      <w:pPr>
        <w:pStyle w:val="0"/>
        <w:spacing w:before="200" w:line-rule="auto"/>
        <w:ind w:firstLine="540"/>
        <w:jc w:val="both"/>
      </w:pPr>
      <w:r>
        <w:rPr>
          <w:sz w:val="20"/>
        </w:rPr>
        <w:t xml:space="preserve">повышение уровня удовлетворенности граждан жилищными условиями и предоставляемыми жилищно-коммунальными услугами, в том числе за счет повышения качества услуг, приведения в нормативное состояние объектов жилищного фонда, повышения конкурентоспособности организаций в сфере жилищно-коммунального хозяйства;</w:t>
      </w:r>
    </w:p>
    <w:p>
      <w:pPr>
        <w:pStyle w:val="0"/>
        <w:spacing w:before="200" w:line-rule="auto"/>
        <w:ind w:firstLine="540"/>
        <w:jc w:val="both"/>
      </w:pPr>
      <w:r>
        <w:rPr>
          <w:sz w:val="20"/>
        </w:rPr>
        <w:t xml:space="preserve">экономические эффекты:</w:t>
      </w:r>
    </w:p>
    <w:p>
      <w:pPr>
        <w:pStyle w:val="0"/>
        <w:spacing w:before="200" w:line-rule="auto"/>
        <w:ind w:firstLine="540"/>
        <w:jc w:val="both"/>
      </w:pPr>
      <w:r>
        <w:rPr>
          <w:sz w:val="20"/>
        </w:rPr>
        <w:t xml:space="preserve">повышение конкурентоспособности строительной отрасли за счет сокращения инвестиционно-строительного цикла, актуализации нормативов и технических требований, а также применения инновационных технологий;</w:t>
      </w:r>
    </w:p>
    <w:p>
      <w:pPr>
        <w:pStyle w:val="0"/>
        <w:spacing w:before="200" w:line-rule="auto"/>
        <w:ind w:firstLine="540"/>
        <w:jc w:val="both"/>
      </w:pPr>
      <w:r>
        <w:rPr>
          <w:sz w:val="20"/>
        </w:rPr>
        <w:t xml:space="preserve">рост объемов работ за счет снятия ограничений по обеспечению необходимой инфраструктурой объектов в рамках реализации новых инвестиционных проектов в различных сферах региональной экономики путем создания (модернизации) объектов инфраструктуры;</w:t>
      </w:r>
    </w:p>
    <w:p>
      <w:pPr>
        <w:pStyle w:val="0"/>
        <w:spacing w:before="200" w:line-rule="auto"/>
        <w:ind w:firstLine="540"/>
        <w:jc w:val="both"/>
      </w:pPr>
      <w:r>
        <w:rPr>
          <w:sz w:val="20"/>
        </w:rPr>
        <w:t xml:space="preserve">сокращение сроков и затрат инвестиционно-строительного цикла объектов капитального строительства за счет сокращения административных барьеров, повышения уровня цифровой зрелости участников градостроительной деятельности, повышения производительности труда, оперативного внедрения новых технологий;</w:t>
      </w:r>
    </w:p>
    <w:p>
      <w:pPr>
        <w:pStyle w:val="0"/>
        <w:spacing w:before="200" w:line-rule="auto"/>
        <w:ind w:firstLine="540"/>
        <w:jc w:val="both"/>
      </w:pPr>
      <w:r>
        <w:rPr>
          <w:sz w:val="20"/>
        </w:rPr>
        <w:t xml:space="preserve">повышение прозрачности и инвестиционной привлекательности отрасли;</w:t>
      </w:r>
    </w:p>
    <w:p>
      <w:pPr>
        <w:pStyle w:val="0"/>
        <w:spacing w:before="200" w:line-rule="auto"/>
        <w:ind w:firstLine="540"/>
        <w:jc w:val="both"/>
      </w:pPr>
      <w:r>
        <w:rPr>
          <w:sz w:val="20"/>
        </w:rPr>
        <w:t xml:space="preserve">снижение административной нагрузки;</w:t>
      </w:r>
    </w:p>
    <w:p>
      <w:pPr>
        <w:pStyle w:val="0"/>
        <w:spacing w:before="200" w:line-rule="auto"/>
        <w:ind w:firstLine="540"/>
        <w:jc w:val="both"/>
      </w:pPr>
      <w:r>
        <w:rPr>
          <w:sz w:val="20"/>
        </w:rPr>
        <w:t xml:space="preserve">повышение оперативности и эффективности управленческих решений на всех уровнях;</w:t>
      </w:r>
    </w:p>
    <w:p>
      <w:pPr>
        <w:pStyle w:val="0"/>
        <w:spacing w:before="200" w:line-rule="auto"/>
        <w:ind w:firstLine="540"/>
        <w:jc w:val="both"/>
      </w:pPr>
      <w:r>
        <w:rPr>
          <w:sz w:val="20"/>
        </w:rPr>
        <w:t xml:space="preserve">повышение эффективности капитальных вложений;</w:t>
      </w:r>
    </w:p>
    <w:p>
      <w:pPr>
        <w:pStyle w:val="0"/>
        <w:spacing w:before="200" w:line-rule="auto"/>
        <w:ind w:firstLine="540"/>
        <w:jc w:val="both"/>
      </w:pPr>
      <w:r>
        <w:rPr>
          <w:sz w:val="20"/>
        </w:rPr>
        <w:t xml:space="preserve">увеличение спроса на продукцию отечественного машиностроения, обрабатывающих производств в рамках импортозамещения и локализации производства строительных материалов, оборудования для нужд отраслей строительства и жилищно-коммунального хозяйства на территории Российской Федерации;</w:t>
      </w:r>
    </w:p>
    <w:p>
      <w:pPr>
        <w:pStyle w:val="0"/>
        <w:spacing w:before="200" w:line-rule="auto"/>
        <w:ind w:firstLine="540"/>
        <w:jc w:val="both"/>
      </w:pPr>
      <w:r>
        <w:rPr>
          <w:sz w:val="20"/>
        </w:rPr>
        <w:t xml:space="preserve">увеличение налоговых платежей в бюджеты всех уровней и поступлений во внебюджетные фонды за счет увеличения объемов прибыли организаций.</w:t>
      </w:r>
    </w:p>
    <w:p>
      <w:pPr>
        <w:pStyle w:val="0"/>
        <w:spacing w:before="200" w:line-rule="auto"/>
        <w:ind w:firstLine="540"/>
        <w:jc w:val="both"/>
      </w:pPr>
      <w:r>
        <w:rPr>
          <w:sz w:val="20"/>
        </w:rPr>
        <w:t xml:space="preserve">Кроме того, реализация мероприятий Стратегии не только будет способствовать улучшению жилищных условий граждан, развитию строительной отрасли и жилищно-коммунального хозяйства, но и окажет мультипликативный эффект на смежные секторы экономики и социальную сферу.</w:t>
      </w:r>
    </w:p>
    <w:p>
      <w:pPr>
        <w:pStyle w:val="0"/>
        <w:jc w:val="both"/>
      </w:pPr>
      <w:r>
        <w:rPr>
          <w:sz w:val="20"/>
        </w:rPr>
      </w:r>
    </w:p>
    <w:p>
      <w:pPr>
        <w:pStyle w:val="2"/>
        <w:outlineLvl w:val="2"/>
        <w:jc w:val="center"/>
      </w:pPr>
      <w:r>
        <w:rPr>
          <w:sz w:val="20"/>
        </w:rPr>
        <w:t xml:space="preserve">Макроэкономические риски, влияющие на реализацию Стратегии</w:t>
      </w:r>
    </w:p>
    <w:p>
      <w:pPr>
        <w:pStyle w:val="0"/>
        <w:jc w:val="both"/>
      </w:pPr>
      <w:r>
        <w:rPr>
          <w:sz w:val="20"/>
        </w:rPr>
      </w:r>
    </w:p>
    <w:p>
      <w:pPr>
        <w:pStyle w:val="0"/>
        <w:ind w:firstLine="540"/>
        <w:jc w:val="both"/>
      </w:pPr>
      <w:r>
        <w:rPr>
          <w:sz w:val="20"/>
        </w:rPr>
        <w:t xml:space="preserve">К макроэкономическим рискам, влияющим на развитие строительной отрасли и жилищно-коммунального хозяйства и, как следствие, на реализацию Стратегии и достижение ее основных результатов, можно отнести:</w:t>
      </w:r>
    </w:p>
    <w:p>
      <w:pPr>
        <w:pStyle w:val="0"/>
        <w:spacing w:before="200" w:line-rule="auto"/>
        <w:ind w:firstLine="540"/>
        <w:jc w:val="both"/>
      </w:pPr>
      <w:r>
        <w:rPr>
          <w:sz w:val="20"/>
        </w:rPr>
        <w:t xml:space="preserve">финансовые риски, связанные с возможным отсутствием необходимого финансового обеспечения мероприятий Стратегии и низкой инвестиционной привлекательностью отдельных проектов и программ;</w:t>
      </w:r>
    </w:p>
    <w:p>
      <w:pPr>
        <w:pStyle w:val="0"/>
        <w:spacing w:before="200" w:line-rule="auto"/>
        <w:ind w:firstLine="540"/>
        <w:jc w:val="both"/>
      </w:pPr>
      <w:r>
        <w:rPr>
          <w:sz w:val="20"/>
        </w:rPr>
        <w:t xml:space="preserve">низкие темпы экономического роста или спад экономики, а также сильную дифференциацию экономического роста в зависимости от размера населенного пункта и субъекта Российской Федерации (недостижение целевых показателей базового сценария Министерства экономического развития Российской Федерации, в том числе роста реальных доходов населения не менее чем на 2,3 процента с 2024 года ежегодно);</w:t>
      </w:r>
    </w:p>
    <w:p>
      <w:pPr>
        <w:pStyle w:val="0"/>
        <w:spacing w:before="200" w:line-rule="auto"/>
        <w:ind w:firstLine="540"/>
        <w:jc w:val="both"/>
      </w:pPr>
      <w:r>
        <w:rPr>
          <w:sz w:val="20"/>
        </w:rPr>
        <w:t xml:space="preserve">инфляционные риски, влияющие на снижение рентабельности бизнеса;</w:t>
      </w:r>
    </w:p>
    <w:p>
      <w:pPr>
        <w:pStyle w:val="0"/>
        <w:spacing w:before="200" w:line-rule="auto"/>
        <w:ind w:firstLine="540"/>
        <w:jc w:val="both"/>
      </w:pPr>
      <w:r>
        <w:rPr>
          <w:sz w:val="20"/>
        </w:rPr>
        <w:t xml:space="preserve">регуляторные риски, связанные с необходимостью внесения изменений в законодательство Российской Федерации и нормативные правовые акты, регулирующие деятельность строительной отрасли и жилищно-коммунального хозяйства.</w:t>
      </w:r>
    </w:p>
    <w:p>
      <w:pPr>
        <w:pStyle w:val="0"/>
        <w:spacing w:before="200" w:line-rule="auto"/>
        <w:ind w:firstLine="540"/>
        <w:jc w:val="both"/>
      </w:pPr>
      <w:r>
        <w:rPr>
          <w:sz w:val="20"/>
        </w:rPr>
        <w:t xml:space="preserve">демографические риски, сопряженные с динамикой роста населения страны, продолжением оттока населения из малых и средних населенных пунктов;</w:t>
      </w:r>
    </w:p>
    <w:p>
      <w:pPr>
        <w:pStyle w:val="0"/>
        <w:spacing w:before="200" w:line-rule="auto"/>
        <w:ind w:firstLine="540"/>
        <w:jc w:val="both"/>
      </w:pPr>
      <w:r>
        <w:rPr>
          <w:sz w:val="20"/>
        </w:rPr>
        <w:t xml:space="preserve">рыночные риски, связанные с изменениями в структуре доходов граждан и падением спроса. В случае реализации рисков и снижения спроса на новое жилье будут рассмотрены дополнительные меры поддержки, в том числе стимулирование ипотеки как механизма поддержки спроса в каждом регионе;</w:t>
      </w:r>
    </w:p>
    <w:p>
      <w:pPr>
        <w:pStyle w:val="0"/>
        <w:spacing w:before="200" w:line-rule="auto"/>
        <w:ind w:firstLine="540"/>
        <w:jc w:val="both"/>
      </w:pPr>
      <w:r>
        <w:rPr>
          <w:sz w:val="20"/>
        </w:rPr>
        <w:t xml:space="preserve">риски, связанные с неблагоприятной динамикой процентных ставок в экономике, которые оказывают влияние на доступность заемного финансирования и ипотечных продуктов. Уровень процентных ставок в экономике определяется значением ключевой ставки. Длительное сохранение ключевой ставки на высоком уровне увеличивает расходы бюджета по действующим программам государственной поддержки жилищного строительства, а также увеличивает затраты застройщиков на привлечение проектного финансирования;</w:t>
      </w:r>
    </w:p>
    <w:p>
      <w:pPr>
        <w:pStyle w:val="0"/>
        <w:spacing w:before="200" w:line-rule="auto"/>
        <w:ind w:firstLine="540"/>
        <w:jc w:val="both"/>
      </w:pPr>
      <w:r>
        <w:rPr>
          <w:sz w:val="20"/>
        </w:rPr>
        <w:t xml:space="preserve">риски нехватки ресурсов для финансирования строительства жилья. Такие риски могут возникнуть в случае, если потребности в проектном финансировании долевого строительства жилья и ипотечном кредитовании участников долевого строительства существенно превысят возможности банковской системы, определяющиеся перспективной динамикой совокупных активов и собственных средств банковской системы;</w:t>
      </w:r>
    </w:p>
    <w:p>
      <w:pPr>
        <w:pStyle w:val="0"/>
        <w:spacing w:before="200" w:line-rule="auto"/>
        <w:ind w:firstLine="540"/>
        <w:jc w:val="both"/>
      </w:pPr>
      <w:r>
        <w:rPr>
          <w:sz w:val="20"/>
        </w:rPr>
        <w:t xml:space="preserve">технологические риски, связанные с ограничением поставок, сокращением (прекращением) деятельности на российском рынке иностранных компаний - поставщиков строительных материалов, машин, оборудования, включая оборудование, используемое при производстве строительных ресурсов, а также иностранных IT-компаний, обеспечивающих поставку, эксплуатацию и техническую поддержку оборудования, программно-аппаратных комплексов и программного обеспечения для всех этапов жизненного цикла объектов капитального строительства и объектов жилищно-коммунального хозяйства;</w:t>
      </w:r>
    </w:p>
    <w:p>
      <w:pPr>
        <w:pStyle w:val="0"/>
        <w:spacing w:before="200" w:line-rule="auto"/>
        <w:ind w:firstLine="540"/>
        <w:jc w:val="both"/>
      </w:pPr>
      <w:r>
        <w:rPr>
          <w:sz w:val="20"/>
        </w:rPr>
        <w:t xml:space="preserve">риск существенного отклонения фактических значений макроэкономических показателей в период реализации Стратегии от значений, предусмотренных среднесрочным и долгосрочным макроэкономическими прогнозами Министерства экономического развития Российской Федерации. Реализация этого риска окажет влияние на отклонение фактических показателей Стратегии от целевых.</w:t>
      </w:r>
    </w:p>
    <w:p>
      <w:pPr>
        <w:pStyle w:val="0"/>
        <w:jc w:val="both"/>
      </w:pPr>
      <w:r>
        <w:rPr>
          <w:sz w:val="20"/>
        </w:rPr>
      </w:r>
    </w:p>
    <w:p>
      <w:pPr>
        <w:pStyle w:val="2"/>
        <w:outlineLvl w:val="2"/>
        <w:jc w:val="center"/>
      </w:pPr>
      <w:r>
        <w:rPr>
          <w:sz w:val="20"/>
        </w:rPr>
        <w:t xml:space="preserve">Вызовы, связанные с действием временных негативных факторов,</w:t>
      </w:r>
    </w:p>
    <w:p>
      <w:pPr>
        <w:pStyle w:val="2"/>
        <w:jc w:val="center"/>
      </w:pPr>
      <w:r>
        <w:rPr>
          <w:sz w:val="20"/>
        </w:rPr>
        <w:t xml:space="preserve">в том числе внешних</w:t>
      </w:r>
    </w:p>
    <w:p>
      <w:pPr>
        <w:pStyle w:val="0"/>
        <w:jc w:val="both"/>
      </w:pPr>
      <w:r>
        <w:rPr>
          <w:sz w:val="20"/>
        </w:rPr>
      </w:r>
    </w:p>
    <w:p>
      <w:pPr>
        <w:pStyle w:val="0"/>
        <w:ind w:firstLine="540"/>
        <w:jc w:val="both"/>
      </w:pPr>
      <w:r>
        <w:rPr>
          <w:sz w:val="20"/>
        </w:rPr>
        <w:t xml:space="preserve">С февраля 2022 г. наблюдаются существенные изменения экономических условий - ухудшение рыночной конъюнктуры, высокая волатильность на финансовом рынке и резкие колебания курса национальной валюты, вызванные в том числе внешнеполитическими обстоятельствами. Вместе с тем существенное влияние оказывают торговые, транспортные и технологические ограничения, вызванные введением санкций. Применительно к отраслям строительства и жилищно-коммунального хозяйства следствием указанных обстоятельств являются дефицит строительных ресурсов и оборудования импортного производства, существенный рост стоимости ресурсов (в том числе строительных материалов, топлива), дефицит кадров, нарушение логистических цепочек, а также сокращение спроса на новое строительство ввиду снижения доступности ипотеки и сокращения доходов граждан.</w:t>
      </w:r>
    </w:p>
    <w:p>
      <w:pPr>
        <w:pStyle w:val="0"/>
        <w:spacing w:before="200" w:line-rule="auto"/>
        <w:ind w:firstLine="540"/>
        <w:jc w:val="both"/>
      </w:pPr>
      <w:r>
        <w:rPr>
          <w:sz w:val="20"/>
        </w:rPr>
        <w:t xml:space="preserve">В текущих условиях, а также при возникновении аналогичных факторов в период реализации Стратегии возрастают риски сокращения объемов нового строительства, снижения финансовой устойчивости строительных организаций и организаций сферы жилищно-коммунального хозяйства, неисполнения инвестиционных и производственных программ.</w:t>
      </w:r>
    </w:p>
    <w:p>
      <w:pPr>
        <w:pStyle w:val="0"/>
        <w:spacing w:before="200" w:line-rule="auto"/>
        <w:ind w:firstLine="540"/>
        <w:jc w:val="both"/>
      </w:pPr>
      <w:r>
        <w:rPr>
          <w:sz w:val="20"/>
        </w:rPr>
        <w:t xml:space="preserve">К первой группе вызовов относятся:</w:t>
      </w:r>
    </w:p>
    <w:p>
      <w:pPr>
        <w:pStyle w:val="0"/>
        <w:spacing w:before="200" w:line-rule="auto"/>
        <w:ind w:firstLine="540"/>
        <w:jc w:val="both"/>
      </w:pPr>
      <w:r>
        <w:rPr>
          <w:sz w:val="20"/>
        </w:rPr>
        <w:t xml:space="preserve">сокращение спроса на жилье;</w:t>
      </w:r>
    </w:p>
    <w:p>
      <w:pPr>
        <w:pStyle w:val="0"/>
        <w:spacing w:before="200" w:line-rule="auto"/>
        <w:ind w:firstLine="540"/>
        <w:jc w:val="both"/>
      </w:pPr>
      <w:r>
        <w:rPr>
          <w:sz w:val="20"/>
        </w:rPr>
        <w:t xml:space="preserve">снижение объемов частных инвестиций в жилищное строительство в связи с падением реальных располагаемых доходов населения и общим спадом экономики.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льготных ипотечных программ;</w:t>
      </w:r>
    </w:p>
    <w:p>
      <w:pPr>
        <w:pStyle w:val="0"/>
        <w:spacing w:before="200" w:line-rule="auto"/>
        <w:ind w:firstLine="540"/>
        <w:jc w:val="both"/>
      </w:pPr>
      <w:r>
        <w:rPr>
          <w:sz w:val="20"/>
        </w:rPr>
        <w:t xml:space="preserve">распространение льготных ипотечных программ на строительство объектов индивидуального жилищного строительства собственными силами граждан.</w:t>
      </w:r>
    </w:p>
    <w:p>
      <w:pPr>
        <w:pStyle w:val="0"/>
        <w:spacing w:before="200" w:line-rule="auto"/>
        <w:ind w:firstLine="540"/>
        <w:jc w:val="both"/>
      </w:pPr>
      <w:r>
        <w:rPr>
          <w:sz w:val="20"/>
        </w:rPr>
        <w:t xml:space="preserve">Результатом осуществления указанных мероприятий является отсутствие существенного снижения спроса и объема частных инвестиций в жилищное строительство за счет своевременных мер поддержки.</w:t>
      </w:r>
    </w:p>
    <w:p>
      <w:pPr>
        <w:pStyle w:val="0"/>
        <w:spacing w:before="200" w:line-rule="auto"/>
        <w:ind w:firstLine="540"/>
        <w:jc w:val="both"/>
      </w:pPr>
      <w:r>
        <w:rPr>
          <w:sz w:val="20"/>
        </w:rPr>
        <w:t xml:space="preserve">Ко второй группе вызовов относятся:</w:t>
      </w:r>
    </w:p>
    <w:p>
      <w:pPr>
        <w:pStyle w:val="0"/>
        <w:spacing w:before="200" w:line-rule="auto"/>
        <w:ind w:firstLine="540"/>
        <w:jc w:val="both"/>
      </w:pPr>
      <w:r>
        <w:rPr>
          <w:sz w:val="20"/>
        </w:rPr>
        <w:t xml:space="preserve">замедление темпов и сокращение объемов жилищного строительства;</w:t>
      </w:r>
    </w:p>
    <w:p>
      <w:pPr>
        <w:pStyle w:val="0"/>
        <w:spacing w:before="200" w:line-rule="auto"/>
        <w:ind w:firstLine="540"/>
        <w:jc w:val="both"/>
      </w:pPr>
      <w:r>
        <w:rPr>
          <w:sz w:val="20"/>
        </w:rPr>
        <w:t xml:space="preserve">снижение темпов обновления систем коммунальной инфраструктуры, вызванное в том числе ростом стоимости строительных материалов и услуг в связи с введенными ограничениями.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программ поддержки жилищного строительства, в том числе программы поддержки низкомаржинальных проектов жилищного строительства, программы стимулирования жилищного строительства;</w:t>
      </w:r>
    </w:p>
    <w:p>
      <w:pPr>
        <w:pStyle w:val="0"/>
        <w:spacing w:before="200" w:line-rule="auto"/>
        <w:ind w:firstLine="540"/>
        <w:jc w:val="both"/>
      </w:pPr>
      <w:r>
        <w:rPr>
          <w:sz w:val="20"/>
        </w:rPr>
        <w:t xml:space="preserve">запуск 5-летней программы модернизации коммунальной инфраструктуры;</w:t>
      </w:r>
    </w:p>
    <w:p>
      <w:pPr>
        <w:pStyle w:val="0"/>
        <w:spacing w:before="200" w:line-rule="auto"/>
        <w:ind w:firstLine="540"/>
        <w:jc w:val="both"/>
      </w:pPr>
      <w:r>
        <w:rPr>
          <w:sz w:val="20"/>
        </w:rPr>
        <w:t xml:space="preserve">упрощение процедур предоставления финансирования публично-правовой компанией "Фонд развития территорий" проектов по модернизации коммунальной инфраструктуры за счет средств Фонда национального благосостояния;</w:t>
      </w:r>
    </w:p>
    <w:p>
      <w:pPr>
        <w:pStyle w:val="0"/>
        <w:jc w:val="both"/>
      </w:pPr>
      <w:r>
        <w:rPr>
          <w:sz w:val="20"/>
        </w:rPr>
        <w:t xml:space="preserve">(в ред. </w:t>
      </w:r>
      <w:hyperlink w:history="0" r:id="rId70" w:tooltip="Постановление Правительства РФ от 20.09.2023 N 15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20.09.2023 N 1529)</w:t>
      </w:r>
    </w:p>
    <w:p>
      <w:pPr>
        <w:pStyle w:val="0"/>
        <w:spacing w:before="200" w:line-rule="auto"/>
        <w:ind w:firstLine="540"/>
        <w:jc w:val="both"/>
      </w:pPr>
      <w:r>
        <w:rPr>
          <w:sz w:val="20"/>
        </w:rPr>
        <w:t xml:space="preserve">временное упрощение процедур таможенного оформления импортируемой продукции и установление приоритета при таможенном оформлении оборудования, комплектующих и запасных частей на российских железных дорогах и пунктах пропуска и портах;</w:t>
      </w:r>
    </w:p>
    <w:p>
      <w:pPr>
        <w:pStyle w:val="0"/>
        <w:spacing w:before="200" w:line-rule="auto"/>
        <w:ind w:firstLine="540"/>
        <w:jc w:val="both"/>
      </w:pPr>
      <w:r>
        <w:rPr>
          <w:sz w:val="20"/>
        </w:rPr>
        <w:t xml:space="preserve">формирование перечня критически важных импортируемых товаров;</w:t>
      </w:r>
    </w:p>
    <w:p>
      <w:pPr>
        <w:pStyle w:val="0"/>
        <w:spacing w:before="200" w:line-rule="auto"/>
        <w:ind w:firstLine="540"/>
        <w:jc w:val="both"/>
      </w:pPr>
      <w:r>
        <w:rPr>
          <w:sz w:val="20"/>
        </w:rPr>
        <w:t xml:space="preserve">переориентация импорта строительных материалов, строительных машин, оборудования, в том числе для производства строительных материалов, локализация производства на территории Российской Федерации;</w:t>
      </w:r>
    </w:p>
    <w:p>
      <w:pPr>
        <w:pStyle w:val="0"/>
        <w:spacing w:before="200" w:line-rule="auto"/>
        <w:ind w:firstLine="540"/>
        <w:jc w:val="both"/>
      </w:pPr>
      <w:r>
        <w:rPr>
          <w:sz w:val="20"/>
        </w:rPr>
        <w:t xml:space="preserve">формирование новых логистических цепочек поставок, транспортных коридоров;</w:t>
      </w:r>
    </w:p>
    <w:p>
      <w:pPr>
        <w:pStyle w:val="0"/>
        <w:spacing w:before="200" w:line-rule="auto"/>
        <w:ind w:firstLine="540"/>
        <w:jc w:val="both"/>
      </w:pPr>
      <w:r>
        <w:rPr>
          <w:sz w:val="20"/>
        </w:rPr>
        <w:t xml:space="preserve">импортозамещение строительных материалов, изделий, конструкций, инженерного и технологического оборудования, а также комплектующих и запасных частей для строительных машин и оборудования.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не допущены замедление темпов и сокращение объемов жилищного строительства, а также снижение темпов обновления систем коммунальной инфраструктуры;</w:t>
      </w:r>
    </w:p>
    <w:p>
      <w:pPr>
        <w:pStyle w:val="0"/>
        <w:spacing w:before="200" w:line-rule="auto"/>
        <w:ind w:firstLine="540"/>
        <w:jc w:val="both"/>
      </w:pPr>
      <w:r>
        <w:rPr>
          <w:sz w:val="20"/>
        </w:rPr>
        <w:t xml:space="preserve">обеспечена финансовая устойчивость и платежеспособность организаций строительного комплекса и жилищно-коммунального хозяйства.</w:t>
      </w:r>
    </w:p>
    <w:p>
      <w:pPr>
        <w:pStyle w:val="0"/>
        <w:spacing w:before="200" w:line-rule="auto"/>
        <w:ind w:firstLine="540"/>
        <w:jc w:val="both"/>
      </w:pPr>
      <w:r>
        <w:rPr>
          <w:sz w:val="20"/>
        </w:rPr>
        <w:t xml:space="preserve">К третьей группе вызовов относится существующий алгоритм прохождения обязательных административных процедур в сфере градостроительства, который негативно сказывается на темпах строительства в условиях, когда важно обеспечить ускоренный выход на строительную площадку.</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существенное упрощение и сокращение сроков подготовки земельных участков для строительства на период действия негативных факторов;</w:t>
      </w:r>
    </w:p>
    <w:p>
      <w:pPr>
        <w:pStyle w:val="0"/>
        <w:spacing w:before="200" w:line-rule="auto"/>
        <w:ind w:firstLine="540"/>
        <w:jc w:val="both"/>
      </w:pPr>
      <w:r>
        <w:rPr>
          <w:sz w:val="20"/>
        </w:rPr>
        <w:t xml:space="preserve">сокращение до 1 месяца срока согласования с федеральными органами исполнительной власти генеральных планов городских округов и поселений и внесения изменений в них, проведение публичных слушаний по указанным документам территориального планирования только в тех населенных пунктах, на которые эти изменения распространяются;</w:t>
      </w:r>
    </w:p>
    <w:p>
      <w:pPr>
        <w:pStyle w:val="0"/>
        <w:spacing w:before="200" w:line-rule="auto"/>
        <w:ind w:firstLine="540"/>
        <w:jc w:val="both"/>
      </w:pPr>
      <w:r>
        <w:rPr>
          <w:sz w:val="20"/>
        </w:rPr>
        <w:t xml:space="preserve">установление особенностей и случаев проведения государственной экспертизы проектной документации, в том числе в части оценки соответствия требованиям в области охраны окружающей среды и охраны объектов культурного наследия без дополнительного проведения соответствующих экспертиз, достоверности определения сметной стоимости в отношении отдельных объектов, стоимость которых не превышает определенную сумму;</w:t>
      </w:r>
    </w:p>
    <w:p>
      <w:pPr>
        <w:pStyle w:val="0"/>
        <w:spacing w:before="200" w:line-rule="auto"/>
        <w:ind w:firstLine="540"/>
        <w:jc w:val="both"/>
      </w:pPr>
      <w:r>
        <w:rPr>
          <w:sz w:val="20"/>
        </w:rPr>
        <w:t xml:space="preserve">установление отдельных особенностей градостроительной деятельности, предусматривающих в том числе продление сроков действия разрешительной документации, а также упрощение порядка строительства инфраструктурных объектов;</w:t>
      </w:r>
    </w:p>
    <w:p>
      <w:pPr>
        <w:pStyle w:val="0"/>
        <w:spacing w:before="200" w:line-rule="auto"/>
        <w:ind w:firstLine="540"/>
        <w:jc w:val="both"/>
      </w:pPr>
      <w:r>
        <w:rPr>
          <w:sz w:val="20"/>
        </w:rPr>
        <w:t xml:space="preserve">сокращение обязательных требований, применяемых в строительстве в соответствии с техническим регламентом (перевод обязательных требований в добровольные).</w:t>
      </w:r>
    </w:p>
    <w:p>
      <w:pPr>
        <w:pStyle w:val="0"/>
        <w:spacing w:before="200" w:line-rule="auto"/>
        <w:ind w:firstLine="540"/>
        <w:jc w:val="both"/>
      </w:pPr>
      <w:r>
        <w:rPr>
          <w:sz w:val="20"/>
        </w:rPr>
        <w:t xml:space="preserve">Результатом осуществления указанных мероприятий является повышение инвестиционной привлекательности и рентабельности инвестиционных проектов в сфере строительства за счет снижения административной нагрузки.</w:t>
      </w:r>
    </w:p>
    <w:p>
      <w:pPr>
        <w:pStyle w:val="0"/>
        <w:spacing w:before="200" w:line-rule="auto"/>
        <w:ind w:firstLine="540"/>
        <w:jc w:val="both"/>
      </w:pPr>
      <w:r>
        <w:rPr>
          <w:sz w:val="20"/>
        </w:rPr>
        <w:t xml:space="preserve">К четвертой группе вызовов относится снижение эффективности государственных капитальных вложений в связи с недостаточностью в порядке управления капитальными вложениями инструментов реагирования на действие внешних негативных факторов.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формирование комплексной государственной </w:t>
      </w:r>
      <w:hyperlink w:history="0" r:id="rId71" w:tooltip="Постановление Правительства РФ от 30.09.2022 N 1730 (ред. от 13.07.2024) &quot;Об утверждении комплексной государственной программы Российской Федерации &quot;Строительство&quot; {КонсультантПлюс}">
        <w:r>
          <w:rPr>
            <w:sz w:val="20"/>
            <w:color w:val="0000ff"/>
          </w:rPr>
          <w:t xml:space="preserve">программы</w:t>
        </w:r>
      </w:hyperlink>
      <w:r>
        <w:rPr>
          <w:sz w:val="20"/>
        </w:rPr>
        <w:t xml:space="preserve"> Российской Федерации "Строительство";</w:t>
      </w:r>
    </w:p>
    <w:p>
      <w:pPr>
        <w:pStyle w:val="0"/>
        <w:spacing w:before="200" w:line-rule="auto"/>
        <w:ind w:firstLine="540"/>
        <w:jc w:val="both"/>
      </w:pPr>
      <w:r>
        <w:rPr>
          <w:sz w:val="20"/>
        </w:rPr>
        <w:t xml:space="preserve">первоочередное финансирование объектов капитального строительства, включенных в комплексную государственную </w:t>
      </w:r>
      <w:hyperlink w:history="0" r:id="rId72" w:tooltip="Постановление Правительства РФ от 30.09.2022 N 1730 (ред. от 13.07.2024) &quot;Об утверждении комплексной государственной программы Российской Федерации &quot;Строительство&quot; {КонсультантПлюс}">
        <w:r>
          <w:rPr>
            <w:sz w:val="20"/>
            <w:color w:val="0000ff"/>
          </w:rPr>
          <w:t xml:space="preserve">программу</w:t>
        </w:r>
      </w:hyperlink>
      <w:r>
        <w:rPr>
          <w:sz w:val="20"/>
        </w:rPr>
        <w:t xml:space="preserve"> Российской Федерации "Строительство" (с учетом действующих и принимаемых обязательств), предусмотренных национальными проектами, в целях своевременного заключения государственных контрактов и исполнения национальных проектов в 2022 - 2024 годах;</w:t>
      </w:r>
    </w:p>
    <w:p>
      <w:pPr>
        <w:pStyle w:val="0"/>
        <w:spacing w:before="200" w:line-rule="auto"/>
        <w:ind w:firstLine="540"/>
        <w:jc w:val="both"/>
      </w:pPr>
      <w:r>
        <w:rPr>
          <w:sz w:val="20"/>
        </w:rPr>
        <w:t xml:space="preserve">упрощение и ускорение расчетов за поставленные товары, в том числе стройматериалы, при казначейском сопровождении государственных (муниципальных) контрактов (договоров, соглашений);</w:t>
      </w:r>
    </w:p>
    <w:p>
      <w:pPr>
        <w:pStyle w:val="0"/>
        <w:spacing w:before="200" w:line-rule="auto"/>
        <w:ind w:firstLine="540"/>
        <w:jc w:val="both"/>
      </w:pPr>
      <w:r>
        <w:rPr>
          <w:sz w:val="20"/>
        </w:rPr>
        <w:t xml:space="preserve">мораторий на запросы информации и проверки (за исключением проводимых в соответствии с законодательством Российской Федерации проверок в рамках контроля, налоговых и валютных проверок) в отношении государственных заказчиков и главных распорядителей бюджетных средств;</w:t>
      </w:r>
    </w:p>
    <w:p>
      <w:pPr>
        <w:pStyle w:val="0"/>
        <w:spacing w:before="200" w:line-rule="auto"/>
        <w:ind w:firstLine="540"/>
        <w:jc w:val="both"/>
      </w:pPr>
      <w:r>
        <w:rPr>
          <w:sz w:val="20"/>
        </w:rPr>
        <w:t xml:space="preserve">перенос на 1 января 2023 г. перехода на применение ресурсно-индексного метода определения сметной стоимости строительства.</w:t>
      </w:r>
    </w:p>
    <w:p>
      <w:pPr>
        <w:pStyle w:val="0"/>
        <w:spacing w:before="200" w:line-rule="auto"/>
        <w:ind w:firstLine="540"/>
        <w:jc w:val="both"/>
      </w:pPr>
      <w:r>
        <w:rPr>
          <w:sz w:val="20"/>
        </w:rPr>
        <w:t xml:space="preserve">Результатом осуществления указанных мероприятий является повышение эффективности государственных капитальных вложений в условиях внешнего санкционного давления за счет обеспечения гибкости и оперативности системы управления капитальными вложениями.</w:t>
      </w:r>
    </w:p>
    <w:p>
      <w:pPr>
        <w:pStyle w:val="0"/>
        <w:spacing w:before="200" w:line-rule="auto"/>
        <w:ind w:firstLine="540"/>
        <w:jc w:val="both"/>
      </w:pPr>
      <w:r>
        <w:rPr>
          <w:sz w:val="20"/>
        </w:rPr>
        <w:t xml:space="preserve">К пятой группе вызовов относится замедление процесса развития и модернизации отраслевых информационных систем в связи с недоступностью IT-товаров, программно-аппаратных комплексов и программного обеспечения для всех этапов жизненного цикла объектов капитального строительства и объектов жилищно-коммунального хозяйства.</w:t>
      </w:r>
    </w:p>
    <w:p>
      <w:pPr>
        <w:pStyle w:val="0"/>
        <w:spacing w:before="200" w:line-rule="auto"/>
        <w:ind w:firstLine="540"/>
        <w:jc w:val="both"/>
      </w:pPr>
      <w:r>
        <w:rPr>
          <w:sz w:val="20"/>
        </w:rPr>
        <w:t xml:space="preserve">Предусмотрены мероприятия по поддержке разработки отечественных решений для всех участников и этапов жизненного цикла объекта капитального строительства с применением технологий информационного моделирования и цифрового взаимодействия всех участников.</w:t>
      </w:r>
    </w:p>
    <w:p>
      <w:pPr>
        <w:pStyle w:val="0"/>
        <w:spacing w:before="200" w:line-rule="auto"/>
        <w:ind w:firstLine="540"/>
        <w:jc w:val="both"/>
      </w:pPr>
      <w:r>
        <w:rPr>
          <w:sz w:val="20"/>
        </w:rPr>
        <w:t xml:space="preserve">Результатом осуществления указанных мероприятий является сохранение темпов развития и модернизации отраслевых информационных систем.</w:t>
      </w:r>
    </w:p>
    <w:p>
      <w:pPr>
        <w:pStyle w:val="0"/>
        <w:jc w:val="both"/>
      </w:pPr>
      <w:r>
        <w:rPr>
          <w:sz w:val="20"/>
        </w:rPr>
      </w:r>
    </w:p>
    <w:p>
      <w:pPr>
        <w:pStyle w:val="2"/>
        <w:outlineLvl w:val="2"/>
        <w:jc w:val="center"/>
      </w:pPr>
      <w:r>
        <w:rPr>
          <w:sz w:val="20"/>
        </w:rPr>
        <w:t xml:space="preserve">Рисковый сценарий реализации Стратегии</w:t>
      </w:r>
    </w:p>
    <w:p>
      <w:pPr>
        <w:pStyle w:val="0"/>
        <w:jc w:val="both"/>
      </w:pPr>
      <w:r>
        <w:rPr>
          <w:sz w:val="20"/>
        </w:rPr>
      </w:r>
    </w:p>
    <w:p>
      <w:pPr>
        <w:pStyle w:val="0"/>
        <w:ind w:firstLine="540"/>
        <w:jc w:val="both"/>
      </w:pPr>
      <w:r>
        <w:rPr>
          <w:sz w:val="20"/>
        </w:rPr>
        <w:t xml:space="preserve">Рисковый сценарий реализации Стратегии предполагает сохранение с учетом инфляции текущего уровня финансового обеспечения строительной отрасли, доступность строительных и трудовых ресурсов, увеличение спроса на жилищное строительство, положительную динамику жилищного, промышленного и инфраструктурного строительства.</w:t>
      </w:r>
    </w:p>
    <w:p>
      <w:pPr>
        <w:pStyle w:val="0"/>
        <w:spacing w:before="200" w:line-rule="auto"/>
        <w:ind w:firstLine="540"/>
        <w:jc w:val="both"/>
      </w:pPr>
      <w:r>
        <w:rPr>
          <w:sz w:val="20"/>
        </w:rPr>
        <w:t xml:space="preserve">Кроме того, рисковый сценарий предполагает экстенсивный рост строительной отрасли, умеренный рост производительности труда, обеспечение роста добавленной стоимости в большей степени за счет притока трудовых ресурсов в отрасль.</w:t>
      </w:r>
    </w:p>
    <w:p>
      <w:pPr>
        <w:pStyle w:val="0"/>
        <w:spacing w:before="200" w:line-rule="auto"/>
        <w:ind w:firstLine="540"/>
        <w:jc w:val="both"/>
      </w:pPr>
      <w:r>
        <w:rPr>
          <w:sz w:val="20"/>
        </w:rPr>
        <w:t xml:space="preserve">Рост инвестиций в основной капитал в рисковом сценарии предполагает необходимость обеспечения новых работников средствами производства, включая машины и оборудование. При этом в рисковом сценарии не предполагается значительное замещение труда капиталом.</w:t>
      </w:r>
    </w:p>
    <w:p>
      <w:pPr>
        <w:pStyle w:val="0"/>
        <w:spacing w:before="200" w:line-rule="auto"/>
        <w:ind w:firstLine="540"/>
        <w:jc w:val="both"/>
      </w:pPr>
      <w:r>
        <w:rPr>
          <w:sz w:val="20"/>
        </w:rPr>
        <w:t xml:space="preserve">В части развития жилищно-коммунального хозяйства рассматриваемый сценарий предусматривает комплексную реализацию мероприятий по модернизации объектов жилищного фонда, коммунальных систем, ликвидации накопленного износа и аварийного состояния объектов жилищно-коммунальной инфраструктуры, а также достижение высокого уровня качества и технологической доступности коммунальных и жилищных услуг.</w:t>
      </w:r>
    </w:p>
    <w:p>
      <w:pPr>
        <w:pStyle w:val="0"/>
        <w:jc w:val="both"/>
      </w:pPr>
      <w:r>
        <w:rPr>
          <w:sz w:val="20"/>
        </w:rPr>
      </w:r>
    </w:p>
    <w:p>
      <w:pPr>
        <w:pStyle w:val="2"/>
        <w:outlineLvl w:val="2"/>
        <w:jc w:val="center"/>
      </w:pPr>
      <w:r>
        <w:rPr>
          <w:sz w:val="20"/>
        </w:rPr>
        <w:t xml:space="preserve">Базовый сценарий реализации Стратегии</w:t>
      </w:r>
    </w:p>
    <w:p>
      <w:pPr>
        <w:pStyle w:val="0"/>
        <w:jc w:val="both"/>
      </w:pPr>
      <w:r>
        <w:rPr>
          <w:sz w:val="20"/>
        </w:rPr>
      </w:r>
    </w:p>
    <w:p>
      <w:pPr>
        <w:pStyle w:val="0"/>
        <w:ind w:firstLine="540"/>
        <w:jc w:val="both"/>
      </w:pPr>
      <w:r>
        <w:rPr>
          <w:sz w:val="20"/>
        </w:rPr>
        <w:t xml:space="preserve">Базовый сценарий реализации Стратегии предусматривает опережающий рост спроса и динамики жилищного, промышленного и инфраструктурного строительства, повышение уровня конкурентоспособности строительной отрасли и жилищно-коммунального хозяйства, улучшение макроэкономического климата, рост реальных располагаемых доходов населения и демографических показателей.</w:t>
      </w:r>
    </w:p>
    <w:p>
      <w:pPr>
        <w:pStyle w:val="0"/>
        <w:spacing w:before="200" w:line-rule="auto"/>
        <w:ind w:firstLine="540"/>
        <w:jc w:val="both"/>
      </w:pPr>
      <w:r>
        <w:rPr>
          <w:sz w:val="20"/>
        </w:rPr>
        <w:t xml:space="preserve">Сценарий предполагает восстановление процессов снабжения строительными ресурсами, в том числе за счет оперативной переориентации импорта, запуска процессов импортозамещения и локализации производств на территории Российской Федерации, ускоренную оптимизацию разрешительных процедур и обязательных требований в строительстве, выделение дополнительных средств на программы поддержки застройщиков, в том числе проблемных объектов, программы льготного ипотечного кредитования, увеличение финансирования программ модернизации жилищно-коммунального хозяйства и привлечение средств Фонда национального благосостояния.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Стратегии развития строительной</w:t>
      </w:r>
    </w:p>
    <w:p>
      <w:pPr>
        <w:pStyle w:val="0"/>
        <w:jc w:val="right"/>
      </w:pPr>
      <w:r>
        <w:rPr>
          <w:sz w:val="20"/>
        </w:rPr>
        <w:t xml:space="preserve">отрасли и жилищно-коммунального</w:t>
      </w:r>
    </w:p>
    <w:p>
      <w:pPr>
        <w:pStyle w:val="0"/>
        <w:jc w:val="right"/>
      </w:pPr>
      <w:r>
        <w:rPr>
          <w:sz w:val="20"/>
        </w:rPr>
        <w:t xml:space="preserve">хозяйства Российской Федерации</w:t>
      </w:r>
    </w:p>
    <w:p>
      <w:pPr>
        <w:pStyle w:val="0"/>
        <w:jc w:val="right"/>
      </w:pPr>
      <w:r>
        <w:rPr>
          <w:sz w:val="20"/>
        </w:rPr>
        <w:t xml:space="preserve">на период до 2030 года с прогнозом</w:t>
      </w:r>
    </w:p>
    <w:p>
      <w:pPr>
        <w:pStyle w:val="0"/>
        <w:jc w:val="right"/>
      </w:pPr>
      <w:r>
        <w:rPr>
          <w:sz w:val="20"/>
        </w:rPr>
        <w:t xml:space="preserve">до 2035 года</w:t>
      </w:r>
    </w:p>
    <w:p>
      <w:pPr>
        <w:pStyle w:val="0"/>
        <w:jc w:val="both"/>
      </w:pPr>
      <w:r>
        <w:rPr>
          <w:sz w:val="20"/>
        </w:rPr>
      </w:r>
    </w:p>
    <w:p>
      <w:pPr>
        <w:pStyle w:val="2"/>
        <w:jc w:val="center"/>
      </w:pPr>
      <w:r>
        <w:rPr>
          <w:sz w:val="20"/>
        </w:rPr>
        <w:t xml:space="preserve">ПОКАЗАТЕЛИ</w:t>
      </w:r>
    </w:p>
    <w:p>
      <w:pPr>
        <w:pStyle w:val="2"/>
        <w:jc w:val="center"/>
      </w:pPr>
      <w:r>
        <w:rPr>
          <w:sz w:val="20"/>
        </w:rPr>
        <w:t xml:space="preserve">РАЗВИТИЯ ОТРАСЛЕЙ СТРОИТЕЛЬСТВА И ЖИЛИЩНО-КОММУНАЛЬНОГО</w:t>
      </w:r>
    </w:p>
    <w:p>
      <w:pPr>
        <w:pStyle w:val="2"/>
        <w:jc w:val="center"/>
      </w:pPr>
      <w:r>
        <w:rPr>
          <w:sz w:val="20"/>
        </w:rPr>
        <w:t xml:space="preserve">ХОЗЯЙСТВА </w:t>
      </w:r>
      <w:hyperlink w:history="0" w:anchor="P2087" w:tooltip="&lt;*&gt; В случае внесения изменений в прогнозы социально-экономического развития Российской Федерации, разрабатываемые Министерством экономического развития Российской Федерации, целевые показатели Стратегии подлежат актуализации в целях снижения риска существенного отклонения их фактических значений от прогнозных.">
        <w:r>
          <w:rPr>
            <w:sz w:val="20"/>
            <w:color w:val="0000ff"/>
          </w:rPr>
          <w:t xml:space="preserve">&lt;*&gt;</w:t>
        </w:r>
      </w:hyperlink>
    </w:p>
    <w:p>
      <w:pPr>
        <w:pStyle w:val="0"/>
        <w:jc w:val="both"/>
      </w:pPr>
      <w:r>
        <w:rPr>
          <w:sz w:val="20"/>
        </w:rPr>
      </w:r>
    </w:p>
    <w:p>
      <w:pPr>
        <w:pStyle w:val="0"/>
        <w:jc w:val="center"/>
      </w:pPr>
      <w:r>
        <w:rPr>
          <w:sz w:val="20"/>
        </w:rPr>
        <w:t xml:space="preserve">"Р" - рисковый сценарий реализации Стратегии;</w:t>
      </w:r>
    </w:p>
    <w:p>
      <w:pPr>
        <w:pStyle w:val="0"/>
        <w:jc w:val="center"/>
      </w:pPr>
      <w:r>
        <w:rPr>
          <w:sz w:val="20"/>
        </w:rPr>
        <w:t xml:space="preserve">"Б" - базовый сценарий реализации Стратегии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94"/>
        <w:gridCol w:w="3798"/>
        <w:gridCol w:w="1303"/>
        <w:gridCol w:w="793"/>
        <w:gridCol w:w="907"/>
        <w:gridCol w:w="907"/>
        <w:gridCol w:w="907"/>
        <w:gridCol w:w="907"/>
        <w:gridCol w:w="1303"/>
      </w:tblGrid>
      <w:tr>
        <w:tblPrEx>
          <w:tblBorders>
            <w:insideV w:val="single" w:sz="4"/>
            <w:insideH w:val="single" w:sz="4"/>
          </w:tblBorders>
        </w:tblPrEx>
        <w:tc>
          <w:tcPr>
            <w:gridSpan w:val="2"/>
            <w:tcW w:w="4592" w:type="dxa"/>
            <w:tcBorders>
              <w:top w:val="single" w:sz="4"/>
              <w:left w:val="nil"/>
              <w:bottom w:val="single" w:sz="4"/>
            </w:tcBorders>
          </w:tcPr>
          <w:p>
            <w:pPr>
              <w:pStyle w:val="0"/>
              <w:jc w:val="center"/>
            </w:pPr>
            <w:r>
              <w:rPr>
                <w:sz w:val="20"/>
              </w:rPr>
              <w:t xml:space="preserve">Наименование показателей</w:t>
            </w:r>
          </w:p>
        </w:tc>
        <w:tc>
          <w:tcPr>
            <w:tcW w:w="1303" w:type="dxa"/>
            <w:tcBorders>
              <w:top w:val="single" w:sz="4"/>
              <w:bottom w:val="single" w:sz="4"/>
            </w:tcBorders>
          </w:tcPr>
          <w:p>
            <w:pPr>
              <w:pStyle w:val="0"/>
              <w:jc w:val="center"/>
            </w:pPr>
            <w:r>
              <w:rPr>
                <w:sz w:val="20"/>
              </w:rPr>
              <w:t xml:space="preserve">Единица измерения</w:t>
            </w:r>
          </w:p>
        </w:tc>
        <w:tc>
          <w:tcPr>
            <w:tcW w:w="793" w:type="dxa"/>
            <w:tcBorders>
              <w:top w:val="single" w:sz="4"/>
              <w:bottom w:val="single" w:sz="4"/>
            </w:tcBorders>
          </w:tcPr>
          <w:p>
            <w:pPr>
              <w:pStyle w:val="0"/>
              <w:jc w:val="center"/>
            </w:pPr>
            <w:r>
              <w:rPr>
                <w:sz w:val="20"/>
              </w:rPr>
              <w:t xml:space="preserve">Сценарий</w:t>
            </w:r>
          </w:p>
        </w:tc>
        <w:tc>
          <w:tcPr>
            <w:tcW w:w="907" w:type="dxa"/>
            <w:tcBorders>
              <w:top w:val="single" w:sz="4"/>
              <w:bottom w:val="single" w:sz="4"/>
            </w:tcBorders>
          </w:tcPr>
          <w:p>
            <w:pPr>
              <w:pStyle w:val="0"/>
              <w:jc w:val="center"/>
            </w:pPr>
            <w:r>
              <w:rPr>
                <w:sz w:val="20"/>
              </w:rPr>
              <w:t xml:space="preserve">2021 год</w:t>
            </w:r>
          </w:p>
        </w:tc>
        <w:tc>
          <w:tcPr>
            <w:tcW w:w="907" w:type="dxa"/>
            <w:tcBorders>
              <w:top w:val="single" w:sz="4"/>
              <w:bottom w:val="single" w:sz="4"/>
            </w:tcBorders>
          </w:tcPr>
          <w:p>
            <w:pPr>
              <w:pStyle w:val="0"/>
              <w:jc w:val="center"/>
            </w:pPr>
            <w:r>
              <w:rPr>
                <w:sz w:val="20"/>
              </w:rPr>
              <w:t xml:space="preserve">2024 год</w:t>
            </w:r>
          </w:p>
        </w:tc>
        <w:tc>
          <w:tcPr>
            <w:tcW w:w="907" w:type="dxa"/>
            <w:tcBorders>
              <w:top w:val="single" w:sz="4"/>
              <w:bottom w:val="single" w:sz="4"/>
            </w:tcBorders>
          </w:tcPr>
          <w:p>
            <w:pPr>
              <w:pStyle w:val="0"/>
              <w:jc w:val="center"/>
            </w:pPr>
            <w:r>
              <w:rPr>
                <w:sz w:val="20"/>
              </w:rPr>
              <w:t xml:space="preserve">2030 год</w:t>
            </w:r>
          </w:p>
        </w:tc>
        <w:tc>
          <w:tcPr>
            <w:tcW w:w="907" w:type="dxa"/>
            <w:tcBorders>
              <w:top w:val="single" w:sz="4"/>
              <w:bottom w:val="single" w:sz="4"/>
            </w:tcBorders>
          </w:tcPr>
          <w:p>
            <w:pPr>
              <w:pStyle w:val="0"/>
              <w:jc w:val="center"/>
            </w:pPr>
            <w:r>
              <w:rPr>
                <w:sz w:val="20"/>
              </w:rPr>
              <w:t xml:space="preserve">2035 год</w:t>
            </w:r>
          </w:p>
        </w:tc>
        <w:tc>
          <w:tcPr>
            <w:tcW w:w="1303" w:type="dxa"/>
            <w:tcBorders>
              <w:top w:val="single" w:sz="4"/>
              <w:bottom w:val="single" w:sz="4"/>
              <w:right w:val="nil"/>
            </w:tcBorders>
          </w:tcPr>
          <w:p>
            <w:pPr>
              <w:pStyle w:val="0"/>
              <w:jc w:val="center"/>
            </w:pPr>
            <w:r>
              <w:rPr>
                <w:sz w:val="20"/>
              </w:rPr>
              <w:t xml:space="preserve">Источник</w:t>
            </w:r>
          </w:p>
        </w:tc>
      </w:tr>
      <w:tr>
        <w:tc>
          <w:tcPr>
            <w:gridSpan w:val="9"/>
            <w:tcW w:w="11619" w:type="dxa"/>
            <w:tcBorders>
              <w:top w:val="single" w:sz="4"/>
              <w:left w:val="nil"/>
              <w:bottom w:val="nil"/>
              <w:right w:val="nil"/>
            </w:tcBorders>
          </w:tcPr>
          <w:p>
            <w:pPr>
              <w:pStyle w:val="0"/>
              <w:outlineLvl w:val="2"/>
              <w:jc w:val="center"/>
            </w:pPr>
            <w:r>
              <w:rPr>
                <w:sz w:val="20"/>
              </w:rPr>
              <w:t xml:space="preserve">1. Повышение комфорта, качества и уровня жизни граждан</w:t>
            </w:r>
          </w:p>
        </w:tc>
      </w:tr>
      <w:tr>
        <w:tc>
          <w:tcPr>
            <w:gridSpan w:val="9"/>
            <w:tcW w:w="11619" w:type="dxa"/>
            <w:tcBorders>
              <w:top w:val="nil"/>
              <w:left w:val="nil"/>
              <w:bottom w:val="nil"/>
              <w:right w:val="nil"/>
            </w:tcBorders>
          </w:tcPr>
          <w:p>
            <w:pPr>
              <w:pStyle w:val="0"/>
              <w:outlineLvl w:val="3"/>
              <w:jc w:val="center"/>
            </w:pPr>
            <w:r>
              <w:rPr>
                <w:sz w:val="20"/>
              </w:rPr>
              <w:t xml:space="preserve">1.1. Новая градостроительная политика</w:t>
            </w:r>
          </w:p>
        </w:tc>
      </w:tr>
      <w:tr>
        <w:tc>
          <w:tcPr>
            <w:tcW w:w="794" w:type="dxa"/>
            <w:tcBorders>
              <w:top w:val="nil"/>
              <w:left w:val="nil"/>
              <w:bottom w:val="nil"/>
              <w:right w:val="nil"/>
            </w:tcBorders>
            <w:vMerge w:val="restart"/>
          </w:tcPr>
          <w:p>
            <w:pPr>
              <w:pStyle w:val="0"/>
              <w:jc w:val="center"/>
            </w:pPr>
            <w:r>
              <w:rPr>
                <w:sz w:val="20"/>
              </w:rPr>
              <w:t xml:space="preserve">1.1.1.</w:t>
            </w:r>
          </w:p>
        </w:tc>
        <w:tc>
          <w:tcPr>
            <w:tcW w:w="3798" w:type="dxa"/>
            <w:tcBorders>
              <w:top w:val="nil"/>
              <w:left w:val="nil"/>
              <w:bottom w:val="nil"/>
              <w:right w:val="nil"/>
            </w:tcBorders>
            <w:vMerge w:val="restart"/>
          </w:tcPr>
          <w:p>
            <w:pPr>
              <w:pStyle w:val="0"/>
            </w:pPr>
            <w:r>
              <w:rPr>
                <w:sz w:val="20"/>
              </w:rPr>
              <w:t xml:space="preserve">Градостроительный потенциал земельных участков, вовлеченных в оборот в целях жилищного строительства (с учетом действующих разрешений на строительство)</w:t>
            </w:r>
          </w:p>
        </w:tc>
        <w:tc>
          <w:tcPr>
            <w:tcW w:w="1303" w:type="dxa"/>
            <w:tcBorders>
              <w:top w:val="nil"/>
              <w:left w:val="nil"/>
              <w:bottom w:val="nil"/>
              <w:right w:val="nil"/>
            </w:tcBorders>
            <w:vMerge w:val="restart"/>
          </w:tcPr>
          <w:p>
            <w:pPr>
              <w:pStyle w:val="0"/>
              <w:jc w:val="center"/>
            </w:pPr>
            <w:r>
              <w:rPr>
                <w:sz w:val="20"/>
              </w:rPr>
              <w:t xml:space="preserve">млн. кв. метров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390</w:t>
            </w:r>
          </w:p>
        </w:tc>
        <w:tc>
          <w:tcPr>
            <w:tcW w:w="907" w:type="dxa"/>
            <w:tcBorders>
              <w:top w:val="nil"/>
              <w:left w:val="nil"/>
              <w:bottom w:val="nil"/>
              <w:right w:val="nil"/>
            </w:tcBorders>
          </w:tcPr>
          <w:p>
            <w:pPr>
              <w:pStyle w:val="0"/>
              <w:jc w:val="center"/>
            </w:pPr>
            <w:r>
              <w:rPr>
                <w:sz w:val="20"/>
              </w:rPr>
              <w:t xml:space="preserve">411</w:t>
            </w:r>
          </w:p>
        </w:tc>
        <w:tc>
          <w:tcPr>
            <w:tcW w:w="907" w:type="dxa"/>
            <w:tcBorders>
              <w:top w:val="nil"/>
              <w:left w:val="nil"/>
              <w:bottom w:val="nil"/>
              <w:right w:val="nil"/>
            </w:tcBorders>
          </w:tcPr>
          <w:p>
            <w:pPr>
              <w:pStyle w:val="0"/>
              <w:jc w:val="center"/>
            </w:pPr>
            <w:r>
              <w:rPr>
                <w:sz w:val="20"/>
              </w:rPr>
              <w:t xml:space="preserve">469</w:t>
            </w:r>
          </w:p>
        </w:tc>
        <w:tc>
          <w:tcPr>
            <w:tcW w:w="907" w:type="dxa"/>
            <w:tcBorders>
              <w:top w:val="nil"/>
              <w:left w:val="nil"/>
              <w:bottom w:val="nil"/>
              <w:right w:val="nil"/>
            </w:tcBorders>
          </w:tcPr>
          <w:p>
            <w:pPr>
              <w:pStyle w:val="0"/>
              <w:jc w:val="center"/>
            </w:pPr>
            <w:r>
              <w:rPr>
                <w:sz w:val="20"/>
              </w:rPr>
              <w:t xml:space="preserve">502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390</w:t>
            </w:r>
          </w:p>
        </w:tc>
        <w:tc>
          <w:tcPr>
            <w:tcW w:w="907" w:type="dxa"/>
            <w:tcBorders>
              <w:top w:val="nil"/>
              <w:left w:val="nil"/>
              <w:bottom w:val="nil"/>
              <w:right w:val="nil"/>
            </w:tcBorders>
          </w:tcPr>
          <w:p>
            <w:pPr>
              <w:pStyle w:val="0"/>
              <w:jc w:val="center"/>
            </w:pPr>
            <w:r>
              <w:rPr>
                <w:sz w:val="20"/>
              </w:rPr>
              <w:t xml:space="preserve">419</w:t>
            </w:r>
          </w:p>
        </w:tc>
        <w:tc>
          <w:tcPr>
            <w:tcW w:w="907" w:type="dxa"/>
            <w:tcBorders>
              <w:top w:val="nil"/>
              <w:left w:val="nil"/>
              <w:bottom w:val="nil"/>
              <w:right w:val="nil"/>
            </w:tcBorders>
          </w:tcPr>
          <w:p>
            <w:pPr>
              <w:pStyle w:val="0"/>
              <w:jc w:val="center"/>
            </w:pPr>
            <w:r>
              <w:rPr>
                <w:sz w:val="20"/>
              </w:rPr>
              <w:t xml:space="preserve">502</w:t>
            </w:r>
          </w:p>
        </w:tc>
        <w:tc>
          <w:tcPr>
            <w:tcW w:w="907" w:type="dxa"/>
            <w:tcBorders>
              <w:top w:val="nil"/>
              <w:left w:val="nil"/>
              <w:bottom w:val="nil"/>
              <w:right w:val="nil"/>
            </w:tcBorders>
          </w:tcPr>
          <w:p>
            <w:pPr>
              <w:pStyle w:val="0"/>
              <w:jc w:val="center"/>
            </w:pPr>
            <w:r>
              <w:rPr>
                <w:sz w:val="20"/>
              </w:rPr>
              <w:t xml:space="preserve">502</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1.1.2.</w:t>
            </w:r>
          </w:p>
        </w:tc>
        <w:tc>
          <w:tcPr>
            <w:tcW w:w="3798" w:type="dxa"/>
            <w:tcBorders>
              <w:top w:val="nil"/>
              <w:left w:val="nil"/>
              <w:bottom w:val="nil"/>
              <w:right w:val="nil"/>
            </w:tcBorders>
            <w:vMerge w:val="restart"/>
          </w:tcPr>
          <w:p>
            <w:pPr>
              <w:pStyle w:val="0"/>
            </w:pPr>
            <w:r>
              <w:rPr>
                <w:sz w:val="20"/>
              </w:rPr>
              <w:t xml:space="preserve">Земельные участки, выявленные для вовлечения в оборот в целях жилищного строительства</w:t>
            </w:r>
          </w:p>
        </w:tc>
        <w:tc>
          <w:tcPr>
            <w:tcW w:w="1303" w:type="dxa"/>
            <w:tcBorders>
              <w:top w:val="nil"/>
              <w:left w:val="nil"/>
              <w:bottom w:val="nil"/>
              <w:right w:val="nil"/>
            </w:tcBorders>
            <w:vMerge w:val="restart"/>
          </w:tcPr>
          <w:p>
            <w:pPr>
              <w:pStyle w:val="0"/>
              <w:jc w:val="center"/>
            </w:pPr>
            <w:r>
              <w:rPr>
                <w:sz w:val="20"/>
              </w:rPr>
              <w:t xml:space="preserve">тыс. гектаров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85</w:t>
            </w:r>
          </w:p>
        </w:tc>
        <w:tc>
          <w:tcPr>
            <w:tcW w:w="907" w:type="dxa"/>
            <w:tcBorders>
              <w:top w:val="nil"/>
              <w:left w:val="nil"/>
              <w:bottom w:val="nil"/>
              <w:right w:val="nil"/>
            </w:tcBorders>
          </w:tcPr>
          <w:p>
            <w:pPr>
              <w:pStyle w:val="0"/>
              <w:jc w:val="center"/>
            </w:pPr>
            <w:r>
              <w:rPr>
                <w:sz w:val="20"/>
              </w:rPr>
              <w:t xml:space="preserve">200</w:t>
            </w:r>
          </w:p>
        </w:tc>
        <w:tc>
          <w:tcPr>
            <w:tcW w:w="907" w:type="dxa"/>
            <w:tcBorders>
              <w:top w:val="nil"/>
              <w:left w:val="nil"/>
              <w:bottom w:val="nil"/>
              <w:right w:val="nil"/>
            </w:tcBorders>
          </w:tcPr>
          <w:p>
            <w:pPr>
              <w:pStyle w:val="0"/>
              <w:jc w:val="center"/>
            </w:pPr>
            <w:r>
              <w:rPr>
                <w:sz w:val="20"/>
              </w:rPr>
              <w:t xml:space="preserve">200</w:t>
            </w:r>
          </w:p>
        </w:tc>
        <w:tc>
          <w:tcPr>
            <w:tcW w:w="1303" w:type="dxa"/>
            <w:tcBorders>
              <w:top w:val="nil"/>
              <w:left w:val="nil"/>
              <w:bottom w:val="nil"/>
              <w:right w:val="nil"/>
            </w:tcBorders>
            <w:vMerge w:val="restart"/>
          </w:tcPr>
          <w:p>
            <w:pPr>
              <w:pStyle w:val="0"/>
              <w:jc w:val="center"/>
            </w:pPr>
            <w:r>
              <w:rPr>
                <w:sz w:val="20"/>
              </w:rPr>
              <w:t xml:space="preserve">Росреестр</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87</w:t>
            </w:r>
          </w:p>
        </w:tc>
        <w:tc>
          <w:tcPr>
            <w:tcW w:w="907" w:type="dxa"/>
            <w:tcBorders>
              <w:top w:val="nil"/>
              <w:left w:val="nil"/>
              <w:bottom w:val="nil"/>
              <w:right w:val="nil"/>
            </w:tcBorders>
          </w:tcPr>
          <w:p>
            <w:pPr>
              <w:pStyle w:val="0"/>
              <w:jc w:val="center"/>
            </w:pPr>
            <w:r>
              <w:rPr>
                <w:sz w:val="20"/>
              </w:rPr>
              <w:t xml:space="preserve">210</w:t>
            </w:r>
          </w:p>
        </w:tc>
        <w:tc>
          <w:tcPr>
            <w:tcW w:w="907" w:type="dxa"/>
            <w:tcBorders>
              <w:top w:val="nil"/>
              <w:left w:val="nil"/>
              <w:bottom w:val="nil"/>
              <w:right w:val="nil"/>
            </w:tcBorders>
          </w:tcPr>
          <w:p>
            <w:pPr>
              <w:pStyle w:val="0"/>
              <w:jc w:val="center"/>
            </w:pPr>
            <w:r>
              <w:rPr>
                <w:sz w:val="20"/>
              </w:rPr>
              <w:t xml:space="preserve">210</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1.2. Новые жилищные возможности</w:t>
            </w:r>
          </w:p>
        </w:tc>
      </w:tr>
      <w:tr>
        <w:tc>
          <w:tcPr>
            <w:tcW w:w="794" w:type="dxa"/>
            <w:tcBorders>
              <w:top w:val="nil"/>
              <w:left w:val="nil"/>
              <w:bottom w:val="nil"/>
              <w:right w:val="nil"/>
            </w:tcBorders>
            <w:vMerge w:val="restart"/>
          </w:tcPr>
          <w:p>
            <w:pPr>
              <w:pStyle w:val="0"/>
              <w:jc w:val="center"/>
            </w:pPr>
            <w:r>
              <w:rPr>
                <w:sz w:val="20"/>
              </w:rPr>
              <w:t xml:space="preserve">1.2.1.</w:t>
            </w:r>
          </w:p>
        </w:tc>
        <w:tc>
          <w:tcPr>
            <w:tcW w:w="3798" w:type="dxa"/>
            <w:tcBorders>
              <w:top w:val="nil"/>
              <w:left w:val="nil"/>
              <w:bottom w:val="nil"/>
              <w:right w:val="nil"/>
            </w:tcBorders>
            <w:vMerge w:val="restart"/>
          </w:tcPr>
          <w:p>
            <w:pPr>
              <w:pStyle w:val="0"/>
            </w:pPr>
            <w:r>
              <w:rPr>
                <w:sz w:val="20"/>
              </w:rPr>
              <w:t xml:space="preserve">Объем жилищного строительства (в год)</w:t>
            </w:r>
          </w:p>
        </w:tc>
        <w:tc>
          <w:tcPr>
            <w:tcW w:w="1303" w:type="dxa"/>
            <w:tcBorders>
              <w:top w:val="nil"/>
              <w:left w:val="nil"/>
              <w:bottom w:val="nil"/>
              <w:right w:val="nil"/>
            </w:tcBorders>
            <w:vMerge w:val="restart"/>
          </w:tcPr>
          <w:p>
            <w:pPr>
              <w:pStyle w:val="0"/>
              <w:jc w:val="center"/>
            </w:pPr>
            <w:r>
              <w:rPr>
                <w:sz w:val="20"/>
              </w:rPr>
              <w:t xml:space="preserve">млн. кв. м</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92,6</w:t>
            </w:r>
          </w:p>
        </w:tc>
        <w:tc>
          <w:tcPr>
            <w:tcW w:w="907" w:type="dxa"/>
            <w:tcBorders>
              <w:top w:val="nil"/>
              <w:left w:val="nil"/>
              <w:bottom w:val="nil"/>
              <w:right w:val="nil"/>
            </w:tcBorders>
          </w:tcPr>
          <w:p>
            <w:pPr>
              <w:pStyle w:val="0"/>
              <w:jc w:val="center"/>
            </w:pPr>
            <w:r>
              <w:rPr>
                <w:sz w:val="20"/>
              </w:rPr>
              <w:t xml:space="preserve">90</w:t>
            </w:r>
          </w:p>
        </w:tc>
        <w:tc>
          <w:tcPr>
            <w:tcW w:w="907" w:type="dxa"/>
            <w:tcBorders>
              <w:top w:val="nil"/>
              <w:left w:val="nil"/>
              <w:bottom w:val="nil"/>
              <w:right w:val="nil"/>
            </w:tcBorders>
          </w:tcPr>
          <w:p>
            <w:pPr>
              <w:pStyle w:val="0"/>
              <w:jc w:val="center"/>
            </w:pPr>
            <w:r>
              <w:rPr>
                <w:sz w:val="20"/>
              </w:rPr>
              <w:t xml:space="preserve">110</w:t>
            </w:r>
          </w:p>
        </w:tc>
        <w:tc>
          <w:tcPr>
            <w:tcW w:w="907" w:type="dxa"/>
            <w:tcBorders>
              <w:top w:val="nil"/>
              <w:left w:val="nil"/>
              <w:bottom w:val="nil"/>
              <w:right w:val="nil"/>
            </w:tcBorders>
          </w:tcPr>
          <w:p>
            <w:pPr>
              <w:pStyle w:val="0"/>
              <w:jc w:val="center"/>
            </w:pPr>
            <w:r>
              <w:rPr>
                <w:sz w:val="20"/>
              </w:rPr>
              <w:t xml:space="preserve">120</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92,6</w:t>
            </w:r>
          </w:p>
        </w:tc>
        <w:tc>
          <w:tcPr>
            <w:tcW w:w="907" w:type="dxa"/>
            <w:tcBorders>
              <w:top w:val="nil"/>
              <w:left w:val="nil"/>
              <w:bottom w:val="nil"/>
              <w:right w:val="nil"/>
            </w:tcBorders>
          </w:tcPr>
          <w:p>
            <w:pPr>
              <w:pStyle w:val="0"/>
              <w:jc w:val="center"/>
            </w:pPr>
            <w:r>
              <w:rPr>
                <w:sz w:val="20"/>
              </w:rPr>
              <w:t xml:space="preserve">94</w:t>
            </w:r>
          </w:p>
        </w:tc>
        <w:tc>
          <w:tcPr>
            <w:tcW w:w="907" w:type="dxa"/>
            <w:tcBorders>
              <w:top w:val="nil"/>
              <w:left w:val="nil"/>
              <w:bottom w:val="nil"/>
              <w:right w:val="nil"/>
            </w:tcBorders>
          </w:tcPr>
          <w:p>
            <w:pPr>
              <w:pStyle w:val="0"/>
              <w:jc w:val="center"/>
            </w:pPr>
            <w:r>
              <w:rPr>
                <w:sz w:val="20"/>
              </w:rPr>
              <w:t xml:space="preserve">120</w:t>
            </w:r>
          </w:p>
        </w:tc>
        <w:tc>
          <w:tcPr>
            <w:tcW w:w="907" w:type="dxa"/>
            <w:tcBorders>
              <w:top w:val="nil"/>
              <w:left w:val="nil"/>
              <w:bottom w:val="nil"/>
              <w:right w:val="nil"/>
            </w:tcBorders>
          </w:tcPr>
          <w:p>
            <w:pPr>
              <w:pStyle w:val="0"/>
              <w:jc w:val="center"/>
            </w:pPr>
            <w:r>
              <w:rPr>
                <w:sz w:val="20"/>
              </w:rPr>
              <w:t xml:space="preserve">120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1.2.2.</w:t>
            </w:r>
          </w:p>
        </w:tc>
        <w:tc>
          <w:tcPr>
            <w:tcW w:w="3798" w:type="dxa"/>
            <w:tcBorders>
              <w:top w:val="nil"/>
              <w:left w:val="nil"/>
              <w:bottom w:val="nil"/>
              <w:right w:val="nil"/>
            </w:tcBorders>
            <w:vMerge w:val="restart"/>
          </w:tcPr>
          <w:p>
            <w:pPr>
              <w:pStyle w:val="0"/>
            </w:pPr>
            <w:r>
              <w:rPr>
                <w:sz w:val="20"/>
              </w:rPr>
              <w:t xml:space="preserve">Объем многоквартирного жилья в стадии строительства</w:t>
            </w:r>
          </w:p>
        </w:tc>
        <w:tc>
          <w:tcPr>
            <w:tcW w:w="1303" w:type="dxa"/>
            <w:tcBorders>
              <w:top w:val="nil"/>
              <w:left w:val="nil"/>
              <w:bottom w:val="nil"/>
              <w:right w:val="nil"/>
            </w:tcBorders>
            <w:vMerge w:val="restart"/>
          </w:tcPr>
          <w:p>
            <w:pPr>
              <w:pStyle w:val="0"/>
              <w:jc w:val="center"/>
            </w:pPr>
            <w:r>
              <w:rPr>
                <w:sz w:val="20"/>
              </w:rPr>
              <w:t xml:space="preserve">млн. кв. м</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96,4</w:t>
            </w:r>
          </w:p>
        </w:tc>
        <w:tc>
          <w:tcPr>
            <w:tcW w:w="907" w:type="dxa"/>
            <w:tcBorders>
              <w:top w:val="nil"/>
              <w:left w:val="nil"/>
              <w:bottom w:val="nil"/>
              <w:right w:val="nil"/>
            </w:tcBorders>
          </w:tcPr>
          <w:p>
            <w:pPr>
              <w:pStyle w:val="0"/>
              <w:jc w:val="center"/>
            </w:pPr>
            <w:r>
              <w:rPr>
                <w:sz w:val="20"/>
              </w:rPr>
              <w:t xml:space="preserve">85</w:t>
            </w:r>
          </w:p>
        </w:tc>
        <w:tc>
          <w:tcPr>
            <w:tcW w:w="907" w:type="dxa"/>
            <w:tcBorders>
              <w:top w:val="nil"/>
              <w:left w:val="nil"/>
              <w:bottom w:val="nil"/>
              <w:right w:val="nil"/>
            </w:tcBorders>
          </w:tcPr>
          <w:p>
            <w:pPr>
              <w:pStyle w:val="0"/>
              <w:jc w:val="center"/>
            </w:pPr>
            <w:r>
              <w:rPr>
                <w:sz w:val="20"/>
              </w:rPr>
              <w:t xml:space="preserve">120</w:t>
            </w:r>
          </w:p>
        </w:tc>
        <w:tc>
          <w:tcPr>
            <w:tcW w:w="907" w:type="dxa"/>
            <w:tcBorders>
              <w:top w:val="nil"/>
              <w:left w:val="nil"/>
              <w:bottom w:val="nil"/>
              <w:right w:val="nil"/>
            </w:tcBorders>
          </w:tcPr>
          <w:p>
            <w:pPr>
              <w:pStyle w:val="0"/>
              <w:jc w:val="center"/>
            </w:pPr>
            <w:r>
              <w:rPr>
                <w:sz w:val="20"/>
              </w:rPr>
              <w:t xml:space="preserve">140</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96,4</w:t>
            </w:r>
          </w:p>
        </w:tc>
        <w:tc>
          <w:tcPr>
            <w:tcW w:w="907" w:type="dxa"/>
            <w:tcBorders>
              <w:top w:val="nil"/>
              <w:left w:val="nil"/>
              <w:bottom w:val="nil"/>
              <w:right w:val="nil"/>
            </w:tcBorders>
          </w:tcPr>
          <w:p>
            <w:pPr>
              <w:pStyle w:val="0"/>
              <w:jc w:val="center"/>
            </w:pPr>
            <w:r>
              <w:rPr>
                <w:sz w:val="20"/>
              </w:rPr>
              <w:t xml:space="preserve">111</w:t>
            </w:r>
          </w:p>
        </w:tc>
        <w:tc>
          <w:tcPr>
            <w:tcW w:w="907" w:type="dxa"/>
            <w:tcBorders>
              <w:top w:val="nil"/>
              <w:left w:val="nil"/>
              <w:bottom w:val="nil"/>
              <w:right w:val="nil"/>
            </w:tcBorders>
          </w:tcPr>
          <w:p>
            <w:pPr>
              <w:pStyle w:val="0"/>
              <w:jc w:val="center"/>
            </w:pPr>
            <w:r>
              <w:rPr>
                <w:sz w:val="20"/>
              </w:rPr>
              <w:t xml:space="preserve">140</w:t>
            </w:r>
          </w:p>
        </w:tc>
        <w:tc>
          <w:tcPr>
            <w:tcW w:w="907" w:type="dxa"/>
            <w:tcBorders>
              <w:top w:val="nil"/>
              <w:left w:val="nil"/>
              <w:bottom w:val="nil"/>
              <w:right w:val="nil"/>
            </w:tcBorders>
          </w:tcPr>
          <w:p>
            <w:pPr>
              <w:pStyle w:val="0"/>
              <w:jc w:val="center"/>
            </w:pPr>
            <w:r>
              <w:rPr>
                <w:sz w:val="20"/>
              </w:rPr>
              <w:t xml:space="preserve">140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1.2.3.</w:t>
            </w:r>
          </w:p>
        </w:tc>
        <w:tc>
          <w:tcPr>
            <w:tcW w:w="3798" w:type="dxa"/>
            <w:tcBorders>
              <w:top w:val="nil"/>
              <w:left w:val="nil"/>
              <w:bottom w:val="nil"/>
              <w:right w:val="nil"/>
            </w:tcBorders>
            <w:vMerge w:val="restart"/>
          </w:tcPr>
          <w:p>
            <w:pPr>
              <w:pStyle w:val="0"/>
            </w:pPr>
            <w:r>
              <w:rPr>
                <w:sz w:val="20"/>
              </w:rPr>
              <w:t xml:space="preserve">Обеспеченность населения жильем (численность населения определена по данным прогноза Росстата)</w:t>
            </w:r>
          </w:p>
        </w:tc>
        <w:tc>
          <w:tcPr>
            <w:tcW w:w="1303" w:type="dxa"/>
            <w:tcBorders>
              <w:top w:val="nil"/>
              <w:left w:val="nil"/>
              <w:bottom w:val="nil"/>
              <w:right w:val="nil"/>
            </w:tcBorders>
            <w:vMerge w:val="restart"/>
          </w:tcPr>
          <w:p>
            <w:pPr>
              <w:pStyle w:val="0"/>
              <w:jc w:val="center"/>
            </w:pPr>
            <w:r>
              <w:rPr>
                <w:sz w:val="20"/>
              </w:rPr>
              <w:t xml:space="preserve">кв. метров на человека</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27,8</w:t>
            </w:r>
          </w:p>
        </w:tc>
        <w:tc>
          <w:tcPr>
            <w:tcW w:w="907" w:type="dxa"/>
            <w:tcBorders>
              <w:top w:val="nil"/>
              <w:left w:val="nil"/>
              <w:bottom w:val="nil"/>
              <w:right w:val="nil"/>
            </w:tcBorders>
          </w:tcPr>
          <w:p>
            <w:pPr>
              <w:pStyle w:val="0"/>
              <w:jc w:val="center"/>
            </w:pPr>
            <w:r>
              <w:rPr>
                <w:sz w:val="20"/>
              </w:rPr>
              <w:t xml:space="preserve">29,2</w:t>
            </w:r>
          </w:p>
        </w:tc>
        <w:tc>
          <w:tcPr>
            <w:tcW w:w="907" w:type="dxa"/>
            <w:tcBorders>
              <w:top w:val="nil"/>
              <w:left w:val="nil"/>
              <w:bottom w:val="nil"/>
              <w:right w:val="nil"/>
            </w:tcBorders>
          </w:tcPr>
          <w:p>
            <w:pPr>
              <w:pStyle w:val="0"/>
              <w:jc w:val="center"/>
            </w:pPr>
            <w:r>
              <w:rPr>
                <w:sz w:val="20"/>
              </w:rPr>
              <w:t xml:space="preserve">33</w:t>
            </w:r>
          </w:p>
        </w:tc>
        <w:tc>
          <w:tcPr>
            <w:tcW w:w="907" w:type="dxa"/>
            <w:tcBorders>
              <w:top w:val="nil"/>
              <w:left w:val="nil"/>
              <w:bottom w:val="nil"/>
              <w:right w:val="nil"/>
            </w:tcBorders>
          </w:tcPr>
          <w:p>
            <w:pPr>
              <w:pStyle w:val="0"/>
              <w:jc w:val="center"/>
            </w:pPr>
            <w:r>
              <w:rPr>
                <w:sz w:val="20"/>
              </w:rPr>
              <w:t xml:space="preserve">36,3</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27,8</w:t>
            </w:r>
          </w:p>
        </w:tc>
        <w:tc>
          <w:tcPr>
            <w:tcW w:w="907" w:type="dxa"/>
            <w:tcBorders>
              <w:top w:val="nil"/>
              <w:left w:val="nil"/>
              <w:bottom w:val="nil"/>
              <w:right w:val="nil"/>
            </w:tcBorders>
          </w:tcPr>
          <w:p>
            <w:pPr>
              <w:pStyle w:val="0"/>
              <w:jc w:val="center"/>
            </w:pPr>
            <w:r>
              <w:rPr>
                <w:sz w:val="20"/>
              </w:rPr>
              <w:t xml:space="preserve">29,3</w:t>
            </w:r>
          </w:p>
        </w:tc>
        <w:tc>
          <w:tcPr>
            <w:tcW w:w="907" w:type="dxa"/>
            <w:tcBorders>
              <w:top w:val="nil"/>
              <w:left w:val="nil"/>
              <w:bottom w:val="nil"/>
              <w:right w:val="nil"/>
            </w:tcBorders>
          </w:tcPr>
          <w:p>
            <w:pPr>
              <w:pStyle w:val="0"/>
              <w:jc w:val="center"/>
            </w:pPr>
            <w:r>
              <w:rPr>
                <w:sz w:val="20"/>
              </w:rPr>
              <w:t xml:space="preserve">33,3</w:t>
            </w:r>
          </w:p>
        </w:tc>
        <w:tc>
          <w:tcPr>
            <w:tcW w:w="907" w:type="dxa"/>
            <w:tcBorders>
              <w:top w:val="nil"/>
              <w:left w:val="nil"/>
              <w:bottom w:val="nil"/>
              <w:right w:val="nil"/>
            </w:tcBorders>
          </w:tcPr>
          <w:p>
            <w:pPr>
              <w:pStyle w:val="0"/>
              <w:jc w:val="center"/>
            </w:pPr>
            <w:r>
              <w:rPr>
                <w:sz w:val="20"/>
              </w:rPr>
              <w:t xml:space="preserve">36,7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1.2.4.</w:t>
            </w:r>
          </w:p>
        </w:tc>
        <w:tc>
          <w:tcPr>
            <w:tcW w:w="3798" w:type="dxa"/>
            <w:tcBorders>
              <w:top w:val="nil"/>
              <w:left w:val="nil"/>
              <w:bottom w:val="nil"/>
              <w:right w:val="nil"/>
            </w:tcBorders>
            <w:vMerge w:val="restart"/>
          </w:tcPr>
          <w:p>
            <w:pPr>
              <w:pStyle w:val="0"/>
            </w:pPr>
            <w:r>
              <w:rPr>
                <w:sz w:val="20"/>
              </w:rPr>
              <w:t xml:space="preserve">Количество семей, улучшивших жилищные условия</w:t>
            </w:r>
          </w:p>
        </w:tc>
        <w:tc>
          <w:tcPr>
            <w:tcW w:w="1303" w:type="dxa"/>
            <w:tcBorders>
              <w:top w:val="nil"/>
              <w:left w:val="nil"/>
              <w:bottom w:val="nil"/>
              <w:right w:val="nil"/>
            </w:tcBorders>
            <w:vMerge w:val="restart"/>
          </w:tcPr>
          <w:p>
            <w:pPr>
              <w:pStyle w:val="0"/>
              <w:jc w:val="center"/>
            </w:pPr>
            <w:r>
              <w:rPr>
                <w:sz w:val="20"/>
              </w:rPr>
              <w:t xml:space="preserve">млн. семей</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4,2</w:t>
            </w:r>
          </w:p>
        </w:tc>
        <w:tc>
          <w:tcPr>
            <w:tcW w:w="907" w:type="dxa"/>
            <w:tcBorders>
              <w:top w:val="nil"/>
              <w:left w:val="nil"/>
              <w:bottom w:val="nil"/>
              <w:right w:val="nil"/>
            </w:tcBorders>
          </w:tcPr>
          <w:p>
            <w:pPr>
              <w:pStyle w:val="0"/>
              <w:jc w:val="center"/>
            </w:pPr>
            <w:r>
              <w:rPr>
                <w:sz w:val="20"/>
              </w:rPr>
              <w:t xml:space="preserve">3,5</w:t>
            </w:r>
          </w:p>
        </w:tc>
        <w:tc>
          <w:tcPr>
            <w:tcW w:w="907" w:type="dxa"/>
            <w:tcBorders>
              <w:top w:val="nil"/>
              <w:left w:val="nil"/>
              <w:bottom w:val="nil"/>
              <w:right w:val="nil"/>
            </w:tcBorders>
          </w:tcPr>
          <w:p>
            <w:pPr>
              <w:pStyle w:val="0"/>
              <w:jc w:val="center"/>
            </w:pPr>
            <w:r>
              <w:rPr>
                <w:sz w:val="20"/>
              </w:rPr>
              <w:t xml:space="preserve">4,3</w:t>
            </w:r>
          </w:p>
        </w:tc>
        <w:tc>
          <w:tcPr>
            <w:tcW w:w="907" w:type="dxa"/>
            <w:tcBorders>
              <w:top w:val="nil"/>
              <w:left w:val="nil"/>
              <w:bottom w:val="nil"/>
              <w:right w:val="nil"/>
            </w:tcBorders>
          </w:tcPr>
          <w:p>
            <w:pPr>
              <w:pStyle w:val="0"/>
              <w:jc w:val="center"/>
            </w:pPr>
            <w:r>
              <w:rPr>
                <w:sz w:val="20"/>
              </w:rPr>
              <w:t xml:space="preserve">5</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4,2</w:t>
            </w:r>
          </w:p>
        </w:tc>
        <w:tc>
          <w:tcPr>
            <w:tcW w:w="907" w:type="dxa"/>
            <w:tcBorders>
              <w:top w:val="nil"/>
              <w:left w:val="nil"/>
              <w:bottom w:val="nil"/>
              <w:right w:val="nil"/>
            </w:tcBorders>
          </w:tcPr>
          <w:p>
            <w:pPr>
              <w:pStyle w:val="0"/>
              <w:jc w:val="center"/>
            </w:pPr>
            <w:r>
              <w:rPr>
                <w:sz w:val="20"/>
              </w:rPr>
              <w:t xml:space="preserve">4,3</w:t>
            </w:r>
          </w:p>
        </w:tc>
        <w:tc>
          <w:tcPr>
            <w:tcW w:w="907" w:type="dxa"/>
            <w:tcBorders>
              <w:top w:val="nil"/>
              <w:left w:val="nil"/>
              <w:bottom w:val="nil"/>
              <w:right w:val="nil"/>
            </w:tcBorders>
          </w:tcPr>
          <w:p>
            <w:pPr>
              <w:pStyle w:val="0"/>
              <w:jc w:val="center"/>
            </w:pPr>
            <w:r>
              <w:rPr>
                <w:sz w:val="20"/>
              </w:rPr>
              <w:t xml:space="preserve">5</w:t>
            </w:r>
          </w:p>
        </w:tc>
        <w:tc>
          <w:tcPr>
            <w:tcW w:w="907" w:type="dxa"/>
            <w:tcBorders>
              <w:top w:val="nil"/>
              <w:left w:val="nil"/>
              <w:bottom w:val="nil"/>
              <w:right w:val="nil"/>
            </w:tcBorders>
          </w:tcPr>
          <w:p>
            <w:pPr>
              <w:pStyle w:val="0"/>
              <w:jc w:val="center"/>
            </w:pPr>
            <w:r>
              <w:rPr>
                <w:sz w:val="20"/>
              </w:rPr>
              <w:t xml:space="preserve">5</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1.3. Жилищно-коммунальное хозяйство и городская среда</w:t>
            </w:r>
          </w:p>
        </w:tc>
      </w:tr>
      <w:tr>
        <w:tc>
          <w:tcPr>
            <w:tcW w:w="794" w:type="dxa"/>
            <w:tcBorders>
              <w:top w:val="nil"/>
              <w:left w:val="nil"/>
              <w:bottom w:val="nil"/>
              <w:right w:val="nil"/>
            </w:tcBorders>
            <w:vMerge w:val="restart"/>
          </w:tcPr>
          <w:p>
            <w:pPr>
              <w:pStyle w:val="0"/>
              <w:jc w:val="center"/>
            </w:pPr>
            <w:r>
              <w:rPr>
                <w:sz w:val="20"/>
              </w:rPr>
              <w:t xml:space="preserve">1.3.1.</w:t>
            </w:r>
          </w:p>
        </w:tc>
        <w:tc>
          <w:tcPr>
            <w:tcW w:w="3798" w:type="dxa"/>
            <w:tcBorders>
              <w:top w:val="nil"/>
              <w:left w:val="nil"/>
              <w:bottom w:val="nil"/>
              <w:right w:val="nil"/>
            </w:tcBorders>
            <w:vMerge w:val="restart"/>
          </w:tcPr>
          <w:p>
            <w:pPr>
              <w:pStyle w:val="0"/>
            </w:pPr>
            <w:r>
              <w:rPr>
                <w:sz w:val="20"/>
              </w:rPr>
              <w:t xml:space="preserve">Объем капитального ремонта, проводимого в рамках реализации региональных программ капитального ремонта общего имущества в многоквартирных домах</w:t>
            </w:r>
          </w:p>
        </w:tc>
        <w:tc>
          <w:tcPr>
            <w:tcW w:w="1303" w:type="dxa"/>
            <w:tcBorders>
              <w:top w:val="nil"/>
              <w:left w:val="nil"/>
              <w:bottom w:val="nil"/>
              <w:right w:val="nil"/>
            </w:tcBorders>
            <w:vMerge w:val="restart"/>
          </w:tcPr>
          <w:p>
            <w:pPr>
              <w:pStyle w:val="0"/>
              <w:jc w:val="center"/>
            </w:pPr>
            <w:r>
              <w:rPr>
                <w:sz w:val="20"/>
              </w:rPr>
              <w:t xml:space="preserve">млн. кв. метров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208</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186</w:t>
            </w:r>
          </w:p>
        </w:tc>
        <w:tc>
          <w:tcPr>
            <w:tcW w:w="907" w:type="dxa"/>
            <w:tcBorders>
              <w:top w:val="nil"/>
              <w:left w:val="nil"/>
              <w:bottom w:val="nil"/>
              <w:right w:val="nil"/>
            </w:tcBorders>
          </w:tcPr>
          <w:p>
            <w:pPr>
              <w:pStyle w:val="0"/>
              <w:jc w:val="center"/>
            </w:pPr>
            <w:r>
              <w:rPr>
                <w:sz w:val="20"/>
              </w:rPr>
              <w:t xml:space="preserve">210</w:t>
            </w:r>
          </w:p>
        </w:tc>
        <w:tc>
          <w:tcPr>
            <w:tcW w:w="907" w:type="dxa"/>
            <w:tcBorders>
              <w:top w:val="nil"/>
              <w:left w:val="nil"/>
              <w:bottom w:val="nil"/>
              <w:right w:val="nil"/>
            </w:tcBorders>
          </w:tcPr>
          <w:p>
            <w:pPr>
              <w:pStyle w:val="0"/>
              <w:jc w:val="center"/>
            </w:pPr>
            <w:r>
              <w:rPr>
                <w:sz w:val="20"/>
              </w:rPr>
              <w:t xml:space="preserve">262</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1.3.2.</w:t>
            </w:r>
          </w:p>
        </w:tc>
        <w:tc>
          <w:tcPr>
            <w:tcW w:w="3798" w:type="dxa"/>
            <w:tcBorders>
              <w:top w:val="nil"/>
              <w:left w:val="nil"/>
              <w:bottom w:val="nil"/>
              <w:right w:val="nil"/>
            </w:tcBorders>
            <w:vMerge w:val="restart"/>
          </w:tcPr>
          <w:p>
            <w:pPr>
              <w:pStyle w:val="0"/>
            </w:pPr>
            <w:r>
              <w:rPr>
                <w:sz w:val="20"/>
              </w:rPr>
              <w:t xml:space="preserve">Индекс качества городской среды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баллов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184</w:t>
            </w:r>
          </w:p>
        </w:tc>
        <w:tc>
          <w:tcPr>
            <w:tcW w:w="907" w:type="dxa"/>
            <w:tcBorders>
              <w:top w:val="nil"/>
              <w:left w:val="nil"/>
              <w:bottom w:val="nil"/>
              <w:right w:val="nil"/>
            </w:tcBorders>
          </w:tcPr>
          <w:p>
            <w:pPr>
              <w:pStyle w:val="0"/>
              <w:jc w:val="center"/>
            </w:pPr>
            <w:r>
              <w:rPr>
                <w:sz w:val="20"/>
              </w:rPr>
              <w:t xml:space="preserve">205</w:t>
            </w:r>
          </w:p>
        </w:tc>
        <w:tc>
          <w:tcPr>
            <w:tcW w:w="907" w:type="dxa"/>
            <w:tcBorders>
              <w:top w:val="nil"/>
              <w:left w:val="nil"/>
              <w:bottom w:val="nil"/>
              <w:right w:val="nil"/>
            </w:tcBorders>
          </w:tcPr>
          <w:p>
            <w:pPr>
              <w:pStyle w:val="0"/>
              <w:jc w:val="center"/>
            </w:pPr>
            <w:r>
              <w:rPr>
                <w:sz w:val="20"/>
              </w:rPr>
              <w:t xml:space="preserve">250</w:t>
            </w:r>
          </w:p>
        </w:tc>
        <w:tc>
          <w:tcPr>
            <w:tcW w:w="907" w:type="dxa"/>
            <w:tcBorders>
              <w:top w:val="nil"/>
              <w:left w:val="nil"/>
              <w:bottom w:val="nil"/>
              <w:right w:val="nil"/>
            </w:tcBorders>
          </w:tcPr>
          <w:p>
            <w:pPr>
              <w:pStyle w:val="0"/>
              <w:jc w:val="center"/>
            </w:pPr>
            <w:r>
              <w:rPr>
                <w:sz w:val="20"/>
              </w:rPr>
              <w:t xml:space="preserve">273</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184</w:t>
            </w:r>
          </w:p>
        </w:tc>
        <w:tc>
          <w:tcPr>
            <w:tcW w:w="907" w:type="dxa"/>
            <w:tcBorders>
              <w:top w:val="nil"/>
              <w:left w:val="nil"/>
              <w:bottom w:val="nil"/>
              <w:right w:val="nil"/>
            </w:tcBorders>
          </w:tcPr>
          <w:p>
            <w:pPr>
              <w:pStyle w:val="0"/>
              <w:jc w:val="center"/>
            </w:pPr>
            <w:r>
              <w:rPr>
                <w:sz w:val="20"/>
              </w:rPr>
              <w:t xml:space="preserve">206</w:t>
            </w:r>
          </w:p>
        </w:tc>
        <w:tc>
          <w:tcPr>
            <w:tcW w:w="907" w:type="dxa"/>
            <w:tcBorders>
              <w:top w:val="nil"/>
              <w:left w:val="nil"/>
              <w:bottom w:val="nil"/>
              <w:right w:val="nil"/>
            </w:tcBorders>
          </w:tcPr>
          <w:p>
            <w:pPr>
              <w:pStyle w:val="0"/>
              <w:jc w:val="center"/>
            </w:pPr>
            <w:r>
              <w:rPr>
                <w:sz w:val="20"/>
              </w:rPr>
              <w:t xml:space="preserve">254</w:t>
            </w:r>
          </w:p>
        </w:tc>
        <w:tc>
          <w:tcPr>
            <w:tcW w:w="907" w:type="dxa"/>
            <w:tcBorders>
              <w:top w:val="nil"/>
              <w:left w:val="nil"/>
              <w:bottom w:val="nil"/>
              <w:right w:val="nil"/>
            </w:tcBorders>
          </w:tcPr>
          <w:p>
            <w:pPr>
              <w:pStyle w:val="0"/>
              <w:jc w:val="center"/>
            </w:pPr>
            <w:r>
              <w:rPr>
                <w:sz w:val="20"/>
              </w:rPr>
              <w:t xml:space="preserve">278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1.3.3.</w:t>
            </w:r>
          </w:p>
        </w:tc>
        <w:tc>
          <w:tcPr>
            <w:tcW w:w="3798" w:type="dxa"/>
            <w:tcBorders>
              <w:top w:val="nil"/>
              <w:left w:val="nil"/>
              <w:bottom w:val="nil"/>
              <w:right w:val="nil"/>
            </w:tcBorders>
            <w:vMerge w:val="restart"/>
          </w:tcPr>
          <w:p>
            <w:pPr>
              <w:pStyle w:val="0"/>
            </w:pPr>
            <w:r>
              <w:rPr>
                <w:sz w:val="20"/>
              </w:rPr>
              <w:t xml:space="preserve">Прирост среднего индекса качества городской среды по Российской Федерации по отношению к показателям 2019 года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w:t>
            </w:r>
          </w:p>
        </w:tc>
        <w:tc>
          <w:tcPr>
            <w:tcW w:w="907" w:type="dxa"/>
            <w:tcBorders>
              <w:top w:val="nil"/>
              <w:left w:val="nil"/>
              <w:bottom w:val="nil"/>
              <w:right w:val="nil"/>
            </w:tcBorders>
          </w:tcPr>
          <w:p>
            <w:pPr>
              <w:pStyle w:val="0"/>
              <w:jc w:val="center"/>
            </w:pPr>
            <w:r>
              <w:rPr>
                <w:sz w:val="20"/>
              </w:rPr>
              <w:t xml:space="preserve">21</w:t>
            </w:r>
          </w:p>
        </w:tc>
        <w:tc>
          <w:tcPr>
            <w:tcW w:w="907" w:type="dxa"/>
            <w:tcBorders>
              <w:top w:val="nil"/>
              <w:left w:val="nil"/>
              <w:bottom w:val="nil"/>
              <w:right w:val="nil"/>
            </w:tcBorders>
          </w:tcPr>
          <w:p>
            <w:pPr>
              <w:pStyle w:val="0"/>
              <w:jc w:val="center"/>
            </w:pPr>
            <w:r>
              <w:rPr>
                <w:sz w:val="20"/>
              </w:rPr>
              <w:t xml:space="preserve">48</w:t>
            </w:r>
          </w:p>
        </w:tc>
        <w:tc>
          <w:tcPr>
            <w:tcW w:w="907" w:type="dxa"/>
            <w:tcBorders>
              <w:top w:val="nil"/>
              <w:left w:val="nil"/>
              <w:bottom w:val="nil"/>
              <w:right w:val="nil"/>
            </w:tcBorders>
          </w:tcPr>
          <w:p>
            <w:pPr>
              <w:pStyle w:val="0"/>
              <w:jc w:val="center"/>
            </w:pPr>
            <w:r>
              <w:rPr>
                <w:sz w:val="20"/>
              </w:rPr>
              <w:t xml:space="preserve">62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w:t>
            </w:r>
          </w:p>
        </w:tc>
        <w:tc>
          <w:tcPr>
            <w:tcW w:w="907" w:type="dxa"/>
            <w:tcBorders>
              <w:top w:val="nil"/>
              <w:left w:val="nil"/>
              <w:bottom w:val="nil"/>
              <w:right w:val="nil"/>
            </w:tcBorders>
          </w:tcPr>
          <w:p>
            <w:pPr>
              <w:pStyle w:val="0"/>
              <w:jc w:val="center"/>
            </w:pPr>
            <w:r>
              <w:rPr>
                <w:sz w:val="20"/>
              </w:rPr>
              <w:t xml:space="preserve">22</w:t>
            </w:r>
          </w:p>
        </w:tc>
        <w:tc>
          <w:tcPr>
            <w:tcW w:w="907" w:type="dxa"/>
            <w:tcBorders>
              <w:top w:val="nil"/>
              <w:left w:val="nil"/>
              <w:bottom w:val="nil"/>
              <w:right w:val="nil"/>
            </w:tcBorders>
          </w:tcPr>
          <w:p>
            <w:pPr>
              <w:pStyle w:val="0"/>
              <w:jc w:val="center"/>
            </w:pPr>
            <w:r>
              <w:rPr>
                <w:sz w:val="20"/>
              </w:rPr>
              <w:t xml:space="preserve">50</w:t>
            </w:r>
          </w:p>
        </w:tc>
        <w:tc>
          <w:tcPr>
            <w:tcW w:w="907" w:type="dxa"/>
            <w:tcBorders>
              <w:top w:val="nil"/>
              <w:left w:val="nil"/>
              <w:bottom w:val="nil"/>
              <w:right w:val="nil"/>
            </w:tcBorders>
          </w:tcPr>
          <w:p>
            <w:pPr>
              <w:pStyle w:val="0"/>
              <w:jc w:val="center"/>
            </w:pPr>
            <w:r>
              <w:rPr>
                <w:sz w:val="20"/>
              </w:rPr>
              <w:t xml:space="preserve">65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1.3.4.</w:t>
            </w:r>
          </w:p>
        </w:tc>
        <w:tc>
          <w:tcPr>
            <w:tcW w:w="3798" w:type="dxa"/>
            <w:tcBorders>
              <w:top w:val="nil"/>
              <w:left w:val="nil"/>
              <w:bottom w:val="nil"/>
              <w:right w:val="nil"/>
            </w:tcBorders>
            <w:vMerge w:val="restart"/>
          </w:tcPr>
          <w:p>
            <w:pPr>
              <w:pStyle w:val="0"/>
            </w:pPr>
            <w:r>
              <w:rPr>
                <w:sz w:val="20"/>
              </w:rPr>
              <w:t xml:space="preserve">Количество благоустроенных общественных территорий (нарастающим итогом с 2019 года)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единиц</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17344</w:t>
            </w:r>
          </w:p>
        </w:tc>
        <w:tc>
          <w:tcPr>
            <w:tcW w:w="907" w:type="dxa"/>
            <w:tcBorders>
              <w:top w:val="nil"/>
              <w:left w:val="nil"/>
              <w:bottom w:val="nil"/>
              <w:right w:val="nil"/>
            </w:tcBorders>
          </w:tcPr>
          <w:p>
            <w:pPr>
              <w:pStyle w:val="0"/>
              <w:jc w:val="center"/>
            </w:pPr>
            <w:r>
              <w:rPr>
                <w:sz w:val="20"/>
              </w:rPr>
              <w:t xml:space="preserve">29633</w:t>
            </w:r>
          </w:p>
        </w:tc>
        <w:tc>
          <w:tcPr>
            <w:tcW w:w="907" w:type="dxa"/>
            <w:tcBorders>
              <w:top w:val="nil"/>
              <w:left w:val="nil"/>
              <w:bottom w:val="nil"/>
              <w:right w:val="nil"/>
            </w:tcBorders>
          </w:tcPr>
          <w:p>
            <w:pPr>
              <w:pStyle w:val="0"/>
              <w:jc w:val="center"/>
            </w:pPr>
            <w:r>
              <w:rPr>
                <w:sz w:val="20"/>
              </w:rPr>
              <w:t xml:space="preserve">58245</w:t>
            </w:r>
          </w:p>
        </w:tc>
        <w:tc>
          <w:tcPr>
            <w:tcW w:w="907" w:type="dxa"/>
            <w:tcBorders>
              <w:top w:val="nil"/>
              <w:left w:val="nil"/>
              <w:bottom w:val="nil"/>
              <w:right w:val="nil"/>
            </w:tcBorders>
          </w:tcPr>
          <w:p>
            <w:pPr>
              <w:pStyle w:val="0"/>
              <w:jc w:val="center"/>
            </w:pPr>
            <w:r>
              <w:rPr>
                <w:sz w:val="20"/>
              </w:rPr>
              <w:t xml:space="preserve">82088</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17344</w:t>
            </w:r>
          </w:p>
        </w:tc>
        <w:tc>
          <w:tcPr>
            <w:tcW w:w="907" w:type="dxa"/>
            <w:tcBorders>
              <w:top w:val="nil"/>
              <w:left w:val="nil"/>
              <w:bottom w:val="nil"/>
              <w:right w:val="nil"/>
            </w:tcBorders>
          </w:tcPr>
          <w:p>
            <w:pPr>
              <w:pStyle w:val="0"/>
              <w:jc w:val="center"/>
            </w:pPr>
            <w:r>
              <w:rPr>
                <w:sz w:val="20"/>
              </w:rPr>
              <w:t xml:space="preserve">31121</w:t>
            </w:r>
          </w:p>
        </w:tc>
        <w:tc>
          <w:tcPr>
            <w:tcW w:w="907" w:type="dxa"/>
            <w:tcBorders>
              <w:top w:val="nil"/>
              <w:left w:val="nil"/>
              <w:bottom w:val="nil"/>
              <w:right w:val="nil"/>
            </w:tcBorders>
          </w:tcPr>
          <w:p>
            <w:pPr>
              <w:pStyle w:val="0"/>
              <w:jc w:val="center"/>
            </w:pPr>
            <w:r>
              <w:rPr>
                <w:sz w:val="20"/>
              </w:rPr>
              <w:t xml:space="preserve">62265</w:t>
            </w:r>
          </w:p>
        </w:tc>
        <w:tc>
          <w:tcPr>
            <w:tcW w:w="907" w:type="dxa"/>
            <w:tcBorders>
              <w:top w:val="nil"/>
              <w:left w:val="nil"/>
              <w:bottom w:val="nil"/>
              <w:right w:val="nil"/>
            </w:tcBorders>
          </w:tcPr>
          <w:p>
            <w:pPr>
              <w:pStyle w:val="0"/>
              <w:jc w:val="center"/>
            </w:pPr>
            <w:r>
              <w:rPr>
                <w:sz w:val="20"/>
              </w:rPr>
              <w:t xml:space="preserve">88265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1.3.5.</w:t>
            </w:r>
          </w:p>
        </w:tc>
        <w:tc>
          <w:tcPr>
            <w:tcW w:w="3798" w:type="dxa"/>
            <w:tcBorders>
              <w:top w:val="nil"/>
              <w:left w:val="nil"/>
              <w:bottom w:val="nil"/>
              <w:right w:val="nil"/>
            </w:tcBorders>
            <w:vMerge w:val="restart"/>
          </w:tcPr>
          <w:p>
            <w:pPr>
              <w:pStyle w:val="0"/>
            </w:pPr>
            <w:r>
              <w:rPr>
                <w:sz w:val="20"/>
              </w:rPr>
              <w:t xml:space="preserve">Прирост доли населения, обеспеченного качественной питьевой водой из систем централизованного водоснабжения (нарастающим итогом к показателям федерального проекта "Чистая вода")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1,9</w:t>
            </w:r>
          </w:p>
        </w:tc>
        <w:tc>
          <w:tcPr>
            <w:tcW w:w="907" w:type="dxa"/>
            <w:tcBorders>
              <w:top w:val="nil"/>
              <w:left w:val="nil"/>
              <w:bottom w:val="nil"/>
              <w:right w:val="nil"/>
            </w:tcBorders>
          </w:tcPr>
          <w:p>
            <w:pPr>
              <w:pStyle w:val="0"/>
              <w:jc w:val="center"/>
            </w:pPr>
            <w:r>
              <w:rPr>
                <w:sz w:val="20"/>
              </w:rPr>
              <w:t xml:space="preserve">3,3</w:t>
            </w:r>
          </w:p>
        </w:tc>
        <w:tc>
          <w:tcPr>
            <w:tcW w:w="907" w:type="dxa"/>
            <w:tcBorders>
              <w:top w:val="nil"/>
              <w:left w:val="nil"/>
              <w:bottom w:val="nil"/>
              <w:right w:val="nil"/>
            </w:tcBorders>
          </w:tcPr>
          <w:p>
            <w:pPr>
              <w:pStyle w:val="0"/>
              <w:jc w:val="center"/>
            </w:pPr>
            <w:r>
              <w:rPr>
                <w:sz w:val="20"/>
              </w:rPr>
              <w:t xml:space="preserve">3,3</w:t>
            </w:r>
          </w:p>
        </w:tc>
        <w:tc>
          <w:tcPr>
            <w:tcW w:w="907" w:type="dxa"/>
            <w:tcBorders>
              <w:top w:val="nil"/>
              <w:left w:val="nil"/>
              <w:bottom w:val="nil"/>
              <w:right w:val="nil"/>
            </w:tcBorders>
          </w:tcPr>
          <w:p>
            <w:pPr>
              <w:pStyle w:val="0"/>
              <w:jc w:val="center"/>
            </w:pPr>
            <w:r>
              <w:rPr>
                <w:sz w:val="20"/>
              </w:rPr>
              <w:t xml:space="preserve">3,3</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1,9</w:t>
            </w:r>
          </w:p>
        </w:tc>
        <w:tc>
          <w:tcPr>
            <w:tcW w:w="907" w:type="dxa"/>
            <w:tcBorders>
              <w:top w:val="nil"/>
              <w:left w:val="nil"/>
              <w:bottom w:val="nil"/>
              <w:right w:val="nil"/>
            </w:tcBorders>
          </w:tcPr>
          <w:p>
            <w:pPr>
              <w:pStyle w:val="0"/>
              <w:jc w:val="center"/>
            </w:pPr>
            <w:r>
              <w:rPr>
                <w:sz w:val="20"/>
              </w:rPr>
              <w:t xml:space="preserve">3,7</w:t>
            </w:r>
          </w:p>
        </w:tc>
        <w:tc>
          <w:tcPr>
            <w:tcW w:w="907" w:type="dxa"/>
            <w:tcBorders>
              <w:top w:val="nil"/>
              <w:left w:val="nil"/>
              <w:bottom w:val="nil"/>
              <w:right w:val="nil"/>
            </w:tcBorders>
          </w:tcPr>
          <w:p>
            <w:pPr>
              <w:pStyle w:val="0"/>
              <w:jc w:val="center"/>
            </w:pPr>
            <w:r>
              <w:rPr>
                <w:sz w:val="20"/>
              </w:rPr>
              <w:t xml:space="preserve">7,9</w:t>
            </w:r>
          </w:p>
        </w:tc>
        <w:tc>
          <w:tcPr>
            <w:tcW w:w="907" w:type="dxa"/>
            <w:tcBorders>
              <w:top w:val="nil"/>
              <w:left w:val="nil"/>
              <w:bottom w:val="nil"/>
              <w:right w:val="nil"/>
            </w:tcBorders>
          </w:tcPr>
          <w:p>
            <w:pPr>
              <w:pStyle w:val="0"/>
              <w:jc w:val="center"/>
            </w:pPr>
            <w:r>
              <w:rPr>
                <w:sz w:val="20"/>
              </w:rPr>
              <w:t xml:space="preserve">12,2</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2"/>
              <w:jc w:val="center"/>
            </w:pPr>
            <w:r>
              <w:rPr>
                <w:sz w:val="20"/>
              </w:rPr>
              <w:t xml:space="preserve">2. Формирование высокотехнологичных, конкурентоспособных отраслей строительства и жилищно-коммунального хозяйства</w:t>
            </w:r>
          </w:p>
        </w:tc>
      </w:tr>
      <w:tr>
        <w:tc>
          <w:tcPr>
            <w:gridSpan w:val="9"/>
            <w:tcW w:w="11619" w:type="dxa"/>
            <w:tcBorders>
              <w:top w:val="nil"/>
              <w:left w:val="nil"/>
              <w:bottom w:val="nil"/>
              <w:right w:val="nil"/>
            </w:tcBorders>
          </w:tcPr>
          <w:p>
            <w:pPr>
              <w:pStyle w:val="0"/>
              <w:outlineLvl w:val="3"/>
              <w:jc w:val="center"/>
            </w:pPr>
            <w:r>
              <w:rPr>
                <w:sz w:val="20"/>
              </w:rPr>
              <w:t xml:space="preserve">2.1. Отрасль строительства</w:t>
            </w:r>
          </w:p>
        </w:tc>
      </w:tr>
      <w:tr>
        <w:tc>
          <w:tcPr>
            <w:tcW w:w="794" w:type="dxa"/>
            <w:tcBorders>
              <w:top w:val="nil"/>
              <w:left w:val="nil"/>
              <w:bottom w:val="nil"/>
              <w:right w:val="nil"/>
            </w:tcBorders>
            <w:vMerge w:val="restart"/>
          </w:tcPr>
          <w:p>
            <w:pPr>
              <w:pStyle w:val="0"/>
              <w:jc w:val="center"/>
            </w:pPr>
            <w:r>
              <w:rPr>
                <w:sz w:val="20"/>
              </w:rPr>
              <w:t xml:space="preserve">2.1.1.</w:t>
            </w:r>
          </w:p>
        </w:tc>
        <w:tc>
          <w:tcPr>
            <w:tcW w:w="3798" w:type="dxa"/>
            <w:tcBorders>
              <w:top w:val="nil"/>
              <w:left w:val="nil"/>
              <w:bottom w:val="nil"/>
              <w:right w:val="nil"/>
            </w:tcBorders>
            <w:vMerge w:val="restart"/>
          </w:tcPr>
          <w:p>
            <w:pPr>
              <w:pStyle w:val="0"/>
            </w:pPr>
            <w:r>
              <w:rPr>
                <w:sz w:val="20"/>
              </w:rPr>
              <w:t xml:space="preserve">Объем гражданского и промышленного строительства (административные, коммерческие, социальные и другие объекты, кроме жилья)</w:t>
            </w:r>
          </w:p>
        </w:tc>
        <w:tc>
          <w:tcPr>
            <w:tcW w:w="1303" w:type="dxa"/>
            <w:tcBorders>
              <w:top w:val="nil"/>
              <w:left w:val="nil"/>
              <w:bottom w:val="nil"/>
              <w:right w:val="nil"/>
            </w:tcBorders>
            <w:vMerge w:val="restart"/>
          </w:tcPr>
          <w:p>
            <w:pPr>
              <w:pStyle w:val="0"/>
              <w:jc w:val="center"/>
            </w:pPr>
            <w:r>
              <w:rPr>
                <w:sz w:val="20"/>
              </w:rPr>
              <w:t xml:space="preserve">млн. кв. метров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34</w:t>
            </w:r>
          </w:p>
        </w:tc>
        <w:tc>
          <w:tcPr>
            <w:tcW w:w="907" w:type="dxa"/>
            <w:tcBorders>
              <w:top w:val="nil"/>
              <w:left w:val="nil"/>
              <w:bottom w:val="nil"/>
              <w:right w:val="nil"/>
            </w:tcBorders>
          </w:tcPr>
          <w:p>
            <w:pPr>
              <w:pStyle w:val="0"/>
              <w:jc w:val="center"/>
            </w:pPr>
            <w:r>
              <w:rPr>
                <w:sz w:val="20"/>
              </w:rPr>
              <w:t xml:space="preserve">21,4</w:t>
            </w:r>
          </w:p>
        </w:tc>
        <w:tc>
          <w:tcPr>
            <w:tcW w:w="907" w:type="dxa"/>
            <w:tcBorders>
              <w:top w:val="nil"/>
              <w:left w:val="nil"/>
              <w:bottom w:val="nil"/>
              <w:right w:val="nil"/>
            </w:tcBorders>
          </w:tcPr>
          <w:p>
            <w:pPr>
              <w:pStyle w:val="0"/>
              <w:jc w:val="center"/>
            </w:pPr>
            <w:r>
              <w:rPr>
                <w:sz w:val="20"/>
              </w:rPr>
              <w:t xml:space="preserve">26,2</w:t>
            </w:r>
          </w:p>
        </w:tc>
        <w:tc>
          <w:tcPr>
            <w:tcW w:w="907" w:type="dxa"/>
            <w:tcBorders>
              <w:top w:val="nil"/>
              <w:left w:val="nil"/>
              <w:bottom w:val="nil"/>
              <w:right w:val="nil"/>
            </w:tcBorders>
          </w:tcPr>
          <w:p>
            <w:pPr>
              <w:pStyle w:val="0"/>
              <w:jc w:val="center"/>
            </w:pPr>
            <w:r>
              <w:rPr>
                <w:sz w:val="20"/>
              </w:rPr>
              <w:t xml:space="preserve">33,5</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34</w:t>
            </w:r>
          </w:p>
        </w:tc>
        <w:tc>
          <w:tcPr>
            <w:tcW w:w="907" w:type="dxa"/>
            <w:tcBorders>
              <w:top w:val="nil"/>
              <w:left w:val="nil"/>
              <w:bottom w:val="nil"/>
              <w:right w:val="nil"/>
            </w:tcBorders>
          </w:tcPr>
          <w:p>
            <w:pPr>
              <w:pStyle w:val="0"/>
              <w:jc w:val="center"/>
            </w:pPr>
            <w:r>
              <w:rPr>
                <w:sz w:val="20"/>
              </w:rPr>
              <w:t xml:space="preserve">27,1</w:t>
            </w:r>
          </w:p>
        </w:tc>
        <w:tc>
          <w:tcPr>
            <w:tcW w:w="907" w:type="dxa"/>
            <w:tcBorders>
              <w:top w:val="nil"/>
              <w:left w:val="nil"/>
              <w:bottom w:val="nil"/>
              <w:right w:val="nil"/>
            </w:tcBorders>
          </w:tcPr>
          <w:p>
            <w:pPr>
              <w:pStyle w:val="0"/>
              <w:jc w:val="center"/>
            </w:pPr>
            <w:r>
              <w:rPr>
                <w:sz w:val="20"/>
              </w:rPr>
              <w:t xml:space="preserve">34,3</w:t>
            </w:r>
          </w:p>
        </w:tc>
        <w:tc>
          <w:tcPr>
            <w:tcW w:w="907" w:type="dxa"/>
            <w:tcBorders>
              <w:top w:val="nil"/>
              <w:left w:val="nil"/>
              <w:bottom w:val="nil"/>
              <w:right w:val="nil"/>
            </w:tcBorders>
          </w:tcPr>
          <w:p>
            <w:pPr>
              <w:pStyle w:val="0"/>
              <w:jc w:val="center"/>
            </w:pPr>
            <w:r>
              <w:rPr>
                <w:sz w:val="20"/>
              </w:rPr>
              <w:t xml:space="preserve">36</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2.1.2.</w:t>
            </w:r>
          </w:p>
        </w:tc>
        <w:tc>
          <w:tcPr>
            <w:tcW w:w="3798" w:type="dxa"/>
            <w:tcBorders>
              <w:top w:val="nil"/>
              <w:left w:val="nil"/>
              <w:bottom w:val="nil"/>
              <w:right w:val="nil"/>
            </w:tcBorders>
            <w:vMerge w:val="restart"/>
          </w:tcPr>
          <w:p>
            <w:pPr>
              <w:pStyle w:val="0"/>
            </w:pPr>
            <w:r>
              <w:rPr>
                <w:sz w:val="20"/>
              </w:rPr>
              <w:t xml:space="preserve">Сокращено количество документов, сведений, материалов, согласований в строительстве</w:t>
            </w:r>
          </w:p>
        </w:tc>
        <w:tc>
          <w:tcPr>
            <w:tcW w:w="1303" w:type="dxa"/>
            <w:tcBorders>
              <w:top w:val="nil"/>
              <w:left w:val="nil"/>
              <w:bottom w:val="nil"/>
              <w:right w:val="nil"/>
            </w:tcBorders>
            <w:vMerge w:val="restart"/>
          </w:tcPr>
          <w:p>
            <w:pPr>
              <w:pStyle w:val="0"/>
              <w:jc w:val="center"/>
            </w:pPr>
            <w:r>
              <w:rPr>
                <w:sz w:val="20"/>
              </w:rPr>
              <w:t xml:space="preserve">штук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989</w:t>
            </w:r>
          </w:p>
        </w:tc>
        <w:tc>
          <w:tcPr>
            <w:tcW w:w="907" w:type="dxa"/>
            <w:tcBorders>
              <w:top w:val="nil"/>
              <w:left w:val="nil"/>
              <w:bottom w:val="nil"/>
              <w:right w:val="nil"/>
            </w:tcBorders>
          </w:tcPr>
          <w:p>
            <w:pPr>
              <w:pStyle w:val="0"/>
              <w:jc w:val="center"/>
            </w:pPr>
            <w:r>
              <w:rPr>
                <w:sz w:val="20"/>
              </w:rPr>
              <w:t xml:space="preserve">650</w:t>
            </w:r>
          </w:p>
        </w:tc>
        <w:tc>
          <w:tcPr>
            <w:tcW w:w="907" w:type="dxa"/>
            <w:tcBorders>
              <w:top w:val="nil"/>
              <w:left w:val="nil"/>
              <w:bottom w:val="nil"/>
              <w:right w:val="nil"/>
            </w:tcBorders>
          </w:tcPr>
          <w:p>
            <w:pPr>
              <w:pStyle w:val="0"/>
              <w:jc w:val="center"/>
            </w:pPr>
            <w:r>
              <w:rPr>
                <w:sz w:val="20"/>
              </w:rPr>
              <w:t xml:space="preserve">350</w:t>
            </w:r>
          </w:p>
        </w:tc>
        <w:tc>
          <w:tcPr>
            <w:tcW w:w="907" w:type="dxa"/>
            <w:tcBorders>
              <w:top w:val="nil"/>
              <w:left w:val="nil"/>
              <w:bottom w:val="nil"/>
              <w:right w:val="nil"/>
            </w:tcBorders>
          </w:tcPr>
          <w:p>
            <w:pPr>
              <w:pStyle w:val="0"/>
              <w:jc w:val="center"/>
            </w:pPr>
            <w:r>
              <w:rPr>
                <w:sz w:val="20"/>
              </w:rPr>
              <w:t xml:space="preserve">-</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989</w:t>
            </w:r>
          </w:p>
        </w:tc>
        <w:tc>
          <w:tcPr>
            <w:tcW w:w="907" w:type="dxa"/>
            <w:tcBorders>
              <w:top w:val="nil"/>
              <w:left w:val="nil"/>
              <w:bottom w:val="nil"/>
              <w:right w:val="nil"/>
            </w:tcBorders>
          </w:tcPr>
          <w:p>
            <w:pPr>
              <w:pStyle w:val="0"/>
              <w:jc w:val="center"/>
            </w:pPr>
            <w:r>
              <w:rPr>
                <w:sz w:val="20"/>
              </w:rPr>
              <w:t xml:space="preserve">600</w:t>
            </w:r>
          </w:p>
        </w:tc>
        <w:tc>
          <w:tcPr>
            <w:tcW w:w="907" w:type="dxa"/>
            <w:tcBorders>
              <w:top w:val="nil"/>
              <w:left w:val="nil"/>
              <w:bottom w:val="nil"/>
              <w:right w:val="nil"/>
            </w:tcBorders>
          </w:tcPr>
          <w:p>
            <w:pPr>
              <w:pStyle w:val="0"/>
              <w:jc w:val="center"/>
            </w:pPr>
            <w:r>
              <w:rPr>
                <w:sz w:val="20"/>
              </w:rPr>
              <w:t xml:space="preserve">350</w:t>
            </w:r>
          </w:p>
        </w:tc>
        <w:tc>
          <w:tcPr>
            <w:tcW w:w="907"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2.1.3.</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по виду экономической деятельности "Строительство"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96,4</w:t>
            </w:r>
          </w:p>
        </w:tc>
        <w:tc>
          <w:tcPr>
            <w:tcW w:w="907" w:type="dxa"/>
            <w:tcBorders>
              <w:top w:val="nil"/>
              <w:left w:val="nil"/>
              <w:bottom w:val="nil"/>
              <w:right w:val="nil"/>
            </w:tcBorders>
          </w:tcPr>
          <w:p>
            <w:pPr>
              <w:pStyle w:val="0"/>
              <w:jc w:val="center"/>
            </w:pPr>
            <w:r>
              <w:rPr>
                <w:sz w:val="20"/>
              </w:rPr>
              <w:t xml:space="preserve">112,5</w:t>
            </w:r>
          </w:p>
        </w:tc>
        <w:tc>
          <w:tcPr>
            <w:tcW w:w="907" w:type="dxa"/>
            <w:tcBorders>
              <w:top w:val="nil"/>
              <w:left w:val="nil"/>
              <w:bottom w:val="nil"/>
              <w:right w:val="nil"/>
            </w:tcBorders>
          </w:tcPr>
          <w:p>
            <w:pPr>
              <w:pStyle w:val="0"/>
              <w:jc w:val="center"/>
            </w:pPr>
            <w:r>
              <w:rPr>
                <w:sz w:val="20"/>
              </w:rPr>
              <w:t xml:space="preserve">124,5</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103,6</w:t>
            </w:r>
          </w:p>
        </w:tc>
        <w:tc>
          <w:tcPr>
            <w:tcW w:w="907" w:type="dxa"/>
            <w:tcBorders>
              <w:top w:val="nil"/>
              <w:left w:val="nil"/>
              <w:bottom w:val="nil"/>
              <w:right w:val="nil"/>
            </w:tcBorders>
          </w:tcPr>
          <w:p>
            <w:pPr>
              <w:pStyle w:val="0"/>
              <w:jc w:val="center"/>
            </w:pPr>
            <w:r>
              <w:rPr>
                <w:sz w:val="20"/>
              </w:rPr>
              <w:t xml:space="preserve">128,2</w:t>
            </w:r>
          </w:p>
        </w:tc>
        <w:tc>
          <w:tcPr>
            <w:tcW w:w="907" w:type="dxa"/>
            <w:tcBorders>
              <w:top w:val="nil"/>
              <w:left w:val="nil"/>
              <w:bottom w:val="nil"/>
              <w:right w:val="nil"/>
            </w:tcBorders>
          </w:tcPr>
          <w:p>
            <w:pPr>
              <w:pStyle w:val="0"/>
              <w:jc w:val="center"/>
            </w:pPr>
            <w:r>
              <w:rPr>
                <w:sz w:val="20"/>
              </w:rPr>
              <w:t xml:space="preserve">146,4</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2.1.4.</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по виду экономической деятельности "Строительство" к 2021 году </w:t>
            </w:r>
            <w:hyperlink w:history="0" w:anchor="P2087" w:tooltip="&lt;*&gt; В случае внесения изменений в прогнозы социально-экономического развития Российской Федерации, разрабатываемые Министерством экономического развития Российской Федерации, целевые показатели Стратегии подлежат актуализации в целях снижения риска существенного отклонения их фактических значений от прогнозных.">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96</w:t>
            </w:r>
          </w:p>
        </w:tc>
        <w:tc>
          <w:tcPr>
            <w:tcW w:w="907" w:type="dxa"/>
            <w:tcBorders>
              <w:top w:val="nil"/>
              <w:left w:val="nil"/>
              <w:bottom w:val="nil"/>
              <w:right w:val="nil"/>
            </w:tcBorders>
          </w:tcPr>
          <w:p>
            <w:pPr>
              <w:pStyle w:val="0"/>
              <w:jc w:val="center"/>
            </w:pPr>
            <w:r>
              <w:rPr>
                <w:sz w:val="20"/>
              </w:rPr>
              <w:t xml:space="preserve">108,3</w:t>
            </w:r>
          </w:p>
        </w:tc>
        <w:tc>
          <w:tcPr>
            <w:tcW w:w="907" w:type="dxa"/>
            <w:tcBorders>
              <w:top w:val="nil"/>
              <w:left w:val="nil"/>
              <w:bottom w:val="nil"/>
              <w:right w:val="nil"/>
            </w:tcBorders>
          </w:tcPr>
          <w:p>
            <w:pPr>
              <w:pStyle w:val="0"/>
              <w:jc w:val="center"/>
            </w:pPr>
            <w:r>
              <w:rPr>
                <w:sz w:val="20"/>
              </w:rPr>
              <w:t xml:space="preserve">118,6</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102</w:t>
            </w:r>
          </w:p>
        </w:tc>
        <w:tc>
          <w:tcPr>
            <w:tcW w:w="907" w:type="dxa"/>
            <w:tcBorders>
              <w:top w:val="nil"/>
              <w:left w:val="nil"/>
              <w:bottom w:val="nil"/>
              <w:right w:val="nil"/>
            </w:tcBorders>
          </w:tcPr>
          <w:p>
            <w:pPr>
              <w:pStyle w:val="0"/>
              <w:jc w:val="center"/>
            </w:pPr>
            <w:r>
              <w:rPr>
                <w:sz w:val="20"/>
              </w:rPr>
              <w:t xml:space="preserve">132,1</w:t>
            </w:r>
          </w:p>
        </w:tc>
        <w:tc>
          <w:tcPr>
            <w:tcW w:w="907" w:type="dxa"/>
            <w:tcBorders>
              <w:top w:val="nil"/>
              <w:left w:val="nil"/>
              <w:bottom w:val="nil"/>
              <w:right w:val="nil"/>
            </w:tcBorders>
          </w:tcPr>
          <w:p>
            <w:pPr>
              <w:pStyle w:val="0"/>
              <w:jc w:val="center"/>
            </w:pPr>
            <w:r>
              <w:rPr>
                <w:sz w:val="20"/>
              </w:rPr>
              <w:t xml:space="preserve">154,9</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2.1.5.</w:t>
            </w:r>
          </w:p>
        </w:tc>
        <w:tc>
          <w:tcPr>
            <w:tcW w:w="3798" w:type="dxa"/>
            <w:tcBorders>
              <w:top w:val="nil"/>
              <w:left w:val="nil"/>
              <w:bottom w:val="nil"/>
              <w:right w:val="nil"/>
            </w:tcBorders>
            <w:vMerge w:val="restart"/>
          </w:tcPr>
          <w:p>
            <w:pPr>
              <w:pStyle w:val="0"/>
            </w:pPr>
            <w:r>
              <w:rPr>
                <w:sz w:val="20"/>
              </w:rPr>
              <w:t xml:space="preserve">Доля в строительной отрасли в налогах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7,2</w:t>
            </w:r>
          </w:p>
        </w:tc>
        <w:tc>
          <w:tcPr>
            <w:tcW w:w="907" w:type="dxa"/>
            <w:tcBorders>
              <w:top w:val="nil"/>
              <w:left w:val="nil"/>
              <w:bottom w:val="nil"/>
              <w:right w:val="nil"/>
            </w:tcBorders>
          </w:tcPr>
          <w:p>
            <w:pPr>
              <w:pStyle w:val="0"/>
              <w:jc w:val="center"/>
            </w:pPr>
            <w:r>
              <w:rPr>
                <w:sz w:val="20"/>
              </w:rPr>
              <w:t xml:space="preserve">4</w:t>
            </w:r>
          </w:p>
        </w:tc>
        <w:tc>
          <w:tcPr>
            <w:tcW w:w="907" w:type="dxa"/>
            <w:tcBorders>
              <w:top w:val="nil"/>
              <w:left w:val="nil"/>
              <w:bottom w:val="nil"/>
              <w:right w:val="nil"/>
            </w:tcBorders>
          </w:tcPr>
          <w:p>
            <w:pPr>
              <w:pStyle w:val="0"/>
              <w:jc w:val="center"/>
            </w:pPr>
            <w:r>
              <w:rPr>
                <w:sz w:val="20"/>
              </w:rPr>
              <w:t xml:space="preserve">4,6</w:t>
            </w:r>
          </w:p>
        </w:tc>
        <w:tc>
          <w:tcPr>
            <w:tcW w:w="907" w:type="dxa"/>
            <w:tcBorders>
              <w:top w:val="nil"/>
              <w:left w:val="nil"/>
              <w:bottom w:val="nil"/>
              <w:right w:val="nil"/>
            </w:tcBorders>
          </w:tcPr>
          <w:p>
            <w:pPr>
              <w:pStyle w:val="0"/>
              <w:jc w:val="center"/>
            </w:pPr>
            <w:r>
              <w:rPr>
                <w:sz w:val="20"/>
              </w:rPr>
              <w:t xml:space="preserve">4,6</w:t>
            </w:r>
          </w:p>
        </w:tc>
        <w:tc>
          <w:tcPr>
            <w:tcW w:w="1303" w:type="dxa"/>
            <w:tcBorders>
              <w:top w:val="nil"/>
              <w:left w:val="nil"/>
              <w:bottom w:val="nil"/>
              <w:right w:val="nil"/>
            </w:tcBorders>
            <w:vMerge w:val="restart"/>
          </w:tcPr>
          <w:p>
            <w:pPr>
              <w:pStyle w:val="0"/>
              <w:jc w:val="center"/>
            </w:pPr>
            <w:r>
              <w:rPr>
                <w:sz w:val="20"/>
              </w:rPr>
              <w:t xml:space="preserve">ФНС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7,2</w:t>
            </w:r>
          </w:p>
        </w:tc>
        <w:tc>
          <w:tcPr>
            <w:tcW w:w="907" w:type="dxa"/>
            <w:tcBorders>
              <w:top w:val="nil"/>
              <w:left w:val="nil"/>
              <w:bottom w:val="nil"/>
              <w:right w:val="nil"/>
            </w:tcBorders>
          </w:tcPr>
          <w:p>
            <w:pPr>
              <w:pStyle w:val="0"/>
              <w:jc w:val="center"/>
            </w:pPr>
            <w:r>
              <w:rPr>
                <w:sz w:val="20"/>
              </w:rPr>
              <w:t xml:space="preserve">7,8</w:t>
            </w:r>
          </w:p>
        </w:tc>
        <w:tc>
          <w:tcPr>
            <w:tcW w:w="907" w:type="dxa"/>
            <w:tcBorders>
              <w:top w:val="nil"/>
              <w:left w:val="nil"/>
              <w:bottom w:val="nil"/>
              <w:right w:val="nil"/>
            </w:tcBorders>
          </w:tcPr>
          <w:p>
            <w:pPr>
              <w:pStyle w:val="0"/>
              <w:jc w:val="center"/>
            </w:pPr>
            <w:r>
              <w:rPr>
                <w:sz w:val="20"/>
              </w:rPr>
              <w:t xml:space="preserve">8,8</w:t>
            </w:r>
          </w:p>
        </w:tc>
        <w:tc>
          <w:tcPr>
            <w:tcW w:w="907" w:type="dxa"/>
            <w:tcBorders>
              <w:top w:val="nil"/>
              <w:left w:val="nil"/>
              <w:bottom w:val="nil"/>
              <w:right w:val="nil"/>
            </w:tcBorders>
          </w:tcPr>
          <w:p>
            <w:pPr>
              <w:pStyle w:val="0"/>
              <w:jc w:val="center"/>
            </w:pPr>
            <w:r>
              <w:rPr>
                <w:sz w:val="20"/>
              </w:rPr>
              <w:t xml:space="preserve">9,3</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2.1.6.</w:t>
            </w:r>
          </w:p>
        </w:tc>
        <w:tc>
          <w:tcPr>
            <w:tcW w:w="3798" w:type="dxa"/>
            <w:tcBorders>
              <w:top w:val="nil"/>
              <w:left w:val="nil"/>
              <w:bottom w:val="nil"/>
              <w:right w:val="nil"/>
            </w:tcBorders>
            <w:vMerge w:val="restart"/>
          </w:tcPr>
          <w:p>
            <w:pPr>
              <w:pStyle w:val="0"/>
            </w:pPr>
            <w:r>
              <w:rPr>
                <w:sz w:val="20"/>
              </w:rPr>
              <w:t xml:space="preserve">Численность занятых в строительной отрасли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6496</w:t>
            </w:r>
          </w:p>
        </w:tc>
        <w:tc>
          <w:tcPr>
            <w:tcW w:w="907" w:type="dxa"/>
            <w:tcBorders>
              <w:top w:val="nil"/>
              <w:left w:val="nil"/>
              <w:bottom w:val="nil"/>
              <w:right w:val="nil"/>
            </w:tcBorders>
          </w:tcPr>
          <w:p>
            <w:pPr>
              <w:pStyle w:val="0"/>
              <w:jc w:val="center"/>
            </w:pPr>
            <w:r>
              <w:rPr>
                <w:sz w:val="20"/>
              </w:rPr>
              <w:t xml:space="preserve">6196</w:t>
            </w:r>
          </w:p>
        </w:tc>
        <w:tc>
          <w:tcPr>
            <w:tcW w:w="907" w:type="dxa"/>
            <w:tcBorders>
              <w:top w:val="nil"/>
              <w:left w:val="nil"/>
              <w:bottom w:val="nil"/>
              <w:right w:val="nil"/>
            </w:tcBorders>
          </w:tcPr>
          <w:p>
            <w:pPr>
              <w:pStyle w:val="0"/>
              <w:jc w:val="center"/>
            </w:pPr>
            <w:r>
              <w:rPr>
                <w:sz w:val="20"/>
              </w:rPr>
              <w:t xml:space="preserve">6517</w:t>
            </w:r>
          </w:p>
        </w:tc>
        <w:tc>
          <w:tcPr>
            <w:tcW w:w="907" w:type="dxa"/>
            <w:tcBorders>
              <w:top w:val="nil"/>
              <w:left w:val="nil"/>
              <w:bottom w:val="nil"/>
              <w:right w:val="nil"/>
            </w:tcBorders>
          </w:tcPr>
          <w:p>
            <w:pPr>
              <w:pStyle w:val="0"/>
              <w:jc w:val="center"/>
            </w:pPr>
            <w:r>
              <w:rPr>
                <w:sz w:val="20"/>
              </w:rPr>
              <w:t xml:space="preserve">6890</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6496</w:t>
            </w:r>
          </w:p>
        </w:tc>
        <w:tc>
          <w:tcPr>
            <w:tcW w:w="907" w:type="dxa"/>
            <w:tcBorders>
              <w:top w:val="nil"/>
              <w:left w:val="nil"/>
              <w:bottom w:val="nil"/>
              <w:right w:val="nil"/>
            </w:tcBorders>
          </w:tcPr>
          <w:p>
            <w:pPr>
              <w:pStyle w:val="0"/>
              <w:jc w:val="center"/>
            </w:pPr>
            <w:r>
              <w:rPr>
                <w:sz w:val="20"/>
              </w:rPr>
              <w:t xml:space="preserve">6528</w:t>
            </w:r>
          </w:p>
        </w:tc>
        <w:tc>
          <w:tcPr>
            <w:tcW w:w="907" w:type="dxa"/>
            <w:tcBorders>
              <w:top w:val="nil"/>
              <w:left w:val="nil"/>
              <w:bottom w:val="nil"/>
              <w:right w:val="nil"/>
            </w:tcBorders>
          </w:tcPr>
          <w:p>
            <w:pPr>
              <w:pStyle w:val="0"/>
              <w:jc w:val="center"/>
            </w:pPr>
            <w:r>
              <w:rPr>
                <w:sz w:val="20"/>
              </w:rPr>
              <w:t xml:space="preserve">6841</w:t>
            </w:r>
          </w:p>
        </w:tc>
        <w:tc>
          <w:tcPr>
            <w:tcW w:w="907" w:type="dxa"/>
            <w:tcBorders>
              <w:top w:val="nil"/>
              <w:left w:val="nil"/>
              <w:bottom w:val="nil"/>
              <w:right w:val="nil"/>
            </w:tcBorders>
          </w:tcPr>
          <w:p>
            <w:pPr>
              <w:pStyle w:val="0"/>
              <w:jc w:val="center"/>
            </w:pPr>
            <w:r>
              <w:rPr>
                <w:sz w:val="20"/>
              </w:rPr>
              <w:t xml:space="preserve">7294</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2.1.7.</w:t>
            </w:r>
          </w:p>
        </w:tc>
        <w:tc>
          <w:tcPr>
            <w:tcW w:w="3798" w:type="dxa"/>
            <w:tcBorders>
              <w:top w:val="nil"/>
              <w:left w:val="nil"/>
              <w:bottom w:val="nil"/>
              <w:right w:val="nil"/>
            </w:tcBorders>
            <w:vMerge w:val="restart"/>
          </w:tcPr>
          <w:p>
            <w:pPr>
              <w:pStyle w:val="0"/>
            </w:pPr>
            <w:r>
              <w:rPr>
                <w:sz w:val="20"/>
              </w:rPr>
              <w:t xml:space="preserve">Производительность труда в строительной отрасли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w:t>
            </w:r>
          </w:p>
        </w:tc>
        <w:tc>
          <w:tcPr>
            <w:tcW w:w="907" w:type="dxa"/>
            <w:tcBorders>
              <w:top w:val="nil"/>
              <w:left w:val="nil"/>
              <w:bottom w:val="nil"/>
              <w:right w:val="nil"/>
            </w:tcBorders>
          </w:tcPr>
          <w:p>
            <w:pPr>
              <w:pStyle w:val="0"/>
              <w:jc w:val="center"/>
            </w:pPr>
            <w:r>
              <w:rPr>
                <w:sz w:val="20"/>
              </w:rPr>
              <w:t xml:space="preserve">112</w:t>
            </w:r>
          </w:p>
        </w:tc>
        <w:tc>
          <w:tcPr>
            <w:tcW w:w="907" w:type="dxa"/>
            <w:tcBorders>
              <w:top w:val="nil"/>
              <w:left w:val="nil"/>
              <w:bottom w:val="nil"/>
              <w:right w:val="nil"/>
            </w:tcBorders>
          </w:tcPr>
          <w:p>
            <w:pPr>
              <w:pStyle w:val="0"/>
              <w:jc w:val="center"/>
            </w:pPr>
            <w:r>
              <w:rPr>
                <w:sz w:val="20"/>
              </w:rPr>
              <w:t xml:space="preserve">117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w:t>
            </w:r>
          </w:p>
        </w:tc>
        <w:tc>
          <w:tcPr>
            <w:tcW w:w="907" w:type="dxa"/>
            <w:tcBorders>
              <w:top w:val="nil"/>
              <w:left w:val="nil"/>
              <w:bottom w:val="nil"/>
              <w:right w:val="nil"/>
            </w:tcBorders>
          </w:tcPr>
          <w:p>
            <w:pPr>
              <w:pStyle w:val="0"/>
              <w:jc w:val="center"/>
            </w:pPr>
            <w:r>
              <w:rPr>
                <w:sz w:val="20"/>
              </w:rPr>
              <w:t xml:space="preserve">122</w:t>
            </w:r>
          </w:p>
        </w:tc>
        <w:tc>
          <w:tcPr>
            <w:tcW w:w="907" w:type="dxa"/>
            <w:tcBorders>
              <w:top w:val="nil"/>
              <w:left w:val="nil"/>
              <w:bottom w:val="nil"/>
              <w:right w:val="nil"/>
            </w:tcBorders>
          </w:tcPr>
          <w:p>
            <w:pPr>
              <w:pStyle w:val="0"/>
              <w:jc w:val="center"/>
            </w:pPr>
            <w:r>
              <w:rPr>
                <w:sz w:val="20"/>
              </w:rPr>
              <w:t xml:space="preserve">130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2.1.8.</w:t>
            </w:r>
          </w:p>
        </w:tc>
        <w:tc>
          <w:tcPr>
            <w:tcW w:w="3798" w:type="dxa"/>
            <w:tcBorders>
              <w:top w:val="nil"/>
              <w:left w:val="nil"/>
              <w:bottom w:val="nil"/>
              <w:right w:val="nil"/>
            </w:tcBorders>
            <w:vMerge w:val="restart"/>
          </w:tcPr>
          <w:p>
            <w:pPr>
              <w:pStyle w:val="0"/>
            </w:pPr>
            <w:r>
              <w:rPr>
                <w:sz w:val="20"/>
              </w:rPr>
              <w:t xml:space="preserve">Актуализированы действующие нормативно-технические документы для внедрения передовых технологий и установления ограничения на использование устаревших технологий в проектировании и строительстве</w:t>
            </w:r>
          </w:p>
        </w:tc>
        <w:tc>
          <w:tcPr>
            <w:tcW w:w="1303" w:type="dxa"/>
            <w:tcBorders>
              <w:top w:val="nil"/>
              <w:left w:val="nil"/>
              <w:bottom w:val="nil"/>
              <w:right w:val="nil"/>
            </w:tcBorders>
            <w:vMerge w:val="restart"/>
          </w:tcPr>
          <w:p>
            <w:pPr>
              <w:pStyle w:val="0"/>
              <w:jc w:val="center"/>
            </w:pPr>
            <w:r>
              <w:rPr>
                <w:sz w:val="20"/>
              </w:rPr>
              <w:t xml:space="preserve">единиц</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78</w:t>
            </w:r>
          </w:p>
        </w:tc>
        <w:tc>
          <w:tcPr>
            <w:tcW w:w="907" w:type="dxa"/>
            <w:tcBorders>
              <w:top w:val="nil"/>
              <w:left w:val="nil"/>
              <w:bottom w:val="nil"/>
              <w:right w:val="nil"/>
            </w:tcBorders>
          </w:tcPr>
          <w:p>
            <w:pPr>
              <w:pStyle w:val="0"/>
              <w:jc w:val="center"/>
            </w:pPr>
            <w:r>
              <w:rPr>
                <w:sz w:val="20"/>
              </w:rPr>
              <w:t xml:space="preserve">92</w:t>
            </w:r>
          </w:p>
        </w:tc>
        <w:tc>
          <w:tcPr>
            <w:tcW w:w="907" w:type="dxa"/>
            <w:tcBorders>
              <w:top w:val="nil"/>
              <w:left w:val="nil"/>
              <w:bottom w:val="nil"/>
              <w:right w:val="nil"/>
            </w:tcBorders>
          </w:tcPr>
          <w:p>
            <w:pPr>
              <w:pStyle w:val="0"/>
              <w:jc w:val="center"/>
            </w:pPr>
            <w:r>
              <w:rPr>
                <w:sz w:val="20"/>
              </w:rPr>
              <w:t xml:space="preserve">105</w:t>
            </w:r>
          </w:p>
        </w:tc>
        <w:tc>
          <w:tcPr>
            <w:tcW w:w="907" w:type="dxa"/>
            <w:tcBorders>
              <w:top w:val="nil"/>
              <w:left w:val="nil"/>
              <w:bottom w:val="nil"/>
              <w:right w:val="nil"/>
            </w:tcBorders>
          </w:tcPr>
          <w:p>
            <w:pPr>
              <w:pStyle w:val="0"/>
              <w:jc w:val="center"/>
            </w:pPr>
            <w:r>
              <w:rPr>
                <w:sz w:val="20"/>
              </w:rPr>
              <w:t xml:space="preserve">115</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78</w:t>
            </w:r>
          </w:p>
        </w:tc>
        <w:tc>
          <w:tcPr>
            <w:tcW w:w="907" w:type="dxa"/>
            <w:tcBorders>
              <w:top w:val="nil"/>
              <w:left w:val="nil"/>
              <w:bottom w:val="nil"/>
              <w:right w:val="nil"/>
            </w:tcBorders>
          </w:tcPr>
          <w:p>
            <w:pPr>
              <w:pStyle w:val="0"/>
              <w:jc w:val="center"/>
            </w:pPr>
            <w:r>
              <w:rPr>
                <w:sz w:val="20"/>
              </w:rPr>
              <w:t xml:space="preserve">104</w:t>
            </w:r>
          </w:p>
        </w:tc>
        <w:tc>
          <w:tcPr>
            <w:tcW w:w="907" w:type="dxa"/>
            <w:tcBorders>
              <w:top w:val="nil"/>
              <w:left w:val="nil"/>
              <w:bottom w:val="nil"/>
              <w:right w:val="nil"/>
            </w:tcBorders>
          </w:tcPr>
          <w:p>
            <w:pPr>
              <w:pStyle w:val="0"/>
              <w:jc w:val="center"/>
            </w:pPr>
            <w:r>
              <w:rPr>
                <w:sz w:val="20"/>
              </w:rPr>
              <w:t xml:space="preserve">115</w:t>
            </w:r>
          </w:p>
        </w:tc>
        <w:tc>
          <w:tcPr>
            <w:tcW w:w="907" w:type="dxa"/>
            <w:tcBorders>
              <w:top w:val="nil"/>
              <w:left w:val="nil"/>
              <w:bottom w:val="nil"/>
              <w:right w:val="nil"/>
            </w:tcBorders>
          </w:tcPr>
          <w:p>
            <w:pPr>
              <w:pStyle w:val="0"/>
              <w:jc w:val="center"/>
            </w:pPr>
            <w:r>
              <w:rPr>
                <w:sz w:val="20"/>
              </w:rPr>
              <w:t xml:space="preserve">135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2.1.9.</w:t>
            </w:r>
          </w:p>
        </w:tc>
        <w:tc>
          <w:tcPr>
            <w:tcW w:w="3798" w:type="dxa"/>
            <w:tcBorders>
              <w:top w:val="nil"/>
              <w:left w:val="nil"/>
              <w:bottom w:val="nil"/>
              <w:right w:val="nil"/>
            </w:tcBorders>
            <w:vMerge w:val="restart"/>
          </w:tcPr>
          <w:p>
            <w:pPr>
              <w:pStyle w:val="0"/>
            </w:pPr>
            <w:r>
              <w:rPr>
                <w:sz w:val="20"/>
              </w:rPr>
              <w:t xml:space="preserve">Внедрены новые нормативно-технические документы в строительстве для осуществления поэтапного отказа от использования устаревших технологий в проектировании и строительстве</w:t>
            </w:r>
          </w:p>
        </w:tc>
        <w:tc>
          <w:tcPr>
            <w:tcW w:w="1303" w:type="dxa"/>
            <w:tcBorders>
              <w:top w:val="nil"/>
              <w:left w:val="nil"/>
              <w:bottom w:val="nil"/>
              <w:right w:val="nil"/>
            </w:tcBorders>
            <w:vMerge w:val="restart"/>
          </w:tcPr>
          <w:p>
            <w:pPr>
              <w:pStyle w:val="0"/>
              <w:jc w:val="center"/>
            </w:pPr>
            <w:r>
              <w:rPr>
                <w:sz w:val="20"/>
              </w:rPr>
              <w:t xml:space="preserve">единиц</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39</w:t>
            </w:r>
          </w:p>
        </w:tc>
        <w:tc>
          <w:tcPr>
            <w:tcW w:w="907" w:type="dxa"/>
            <w:tcBorders>
              <w:top w:val="nil"/>
              <w:left w:val="nil"/>
              <w:bottom w:val="nil"/>
              <w:right w:val="nil"/>
            </w:tcBorders>
          </w:tcPr>
          <w:p>
            <w:pPr>
              <w:pStyle w:val="0"/>
              <w:jc w:val="center"/>
            </w:pPr>
            <w:r>
              <w:rPr>
                <w:sz w:val="20"/>
              </w:rPr>
              <w:t xml:space="preserve">23</w:t>
            </w:r>
          </w:p>
        </w:tc>
        <w:tc>
          <w:tcPr>
            <w:tcW w:w="907" w:type="dxa"/>
            <w:tcBorders>
              <w:top w:val="nil"/>
              <w:left w:val="nil"/>
              <w:bottom w:val="nil"/>
              <w:right w:val="nil"/>
            </w:tcBorders>
          </w:tcPr>
          <w:p>
            <w:pPr>
              <w:pStyle w:val="0"/>
              <w:jc w:val="center"/>
            </w:pPr>
            <w:r>
              <w:rPr>
                <w:sz w:val="20"/>
              </w:rPr>
              <w:t xml:space="preserve">8</w:t>
            </w:r>
          </w:p>
        </w:tc>
        <w:tc>
          <w:tcPr>
            <w:tcW w:w="907" w:type="dxa"/>
            <w:tcBorders>
              <w:top w:val="nil"/>
              <w:left w:val="nil"/>
              <w:bottom w:val="nil"/>
              <w:right w:val="nil"/>
            </w:tcBorders>
          </w:tcPr>
          <w:p>
            <w:pPr>
              <w:pStyle w:val="0"/>
              <w:jc w:val="center"/>
            </w:pPr>
            <w:r>
              <w:rPr>
                <w:sz w:val="20"/>
              </w:rPr>
              <w:t xml:space="preserve">4</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39</w:t>
            </w:r>
          </w:p>
        </w:tc>
        <w:tc>
          <w:tcPr>
            <w:tcW w:w="907" w:type="dxa"/>
            <w:tcBorders>
              <w:top w:val="nil"/>
              <w:left w:val="nil"/>
              <w:bottom w:val="nil"/>
              <w:right w:val="nil"/>
            </w:tcBorders>
          </w:tcPr>
          <w:p>
            <w:pPr>
              <w:pStyle w:val="0"/>
              <w:jc w:val="center"/>
            </w:pPr>
            <w:r>
              <w:rPr>
                <w:sz w:val="20"/>
              </w:rPr>
              <w:t xml:space="preserve">28</w:t>
            </w:r>
          </w:p>
        </w:tc>
        <w:tc>
          <w:tcPr>
            <w:tcW w:w="907"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jc w:val="center"/>
            </w:pPr>
            <w:r>
              <w:rPr>
                <w:sz w:val="20"/>
              </w:rPr>
              <w:t xml:space="preserve">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2.1.10.</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по виду экономической деятельности "Операции с недвижимым имуществом"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94,5</w:t>
            </w:r>
          </w:p>
        </w:tc>
        <w:tc>
          <w:tcPr>
            <w:tcW w:w="907" w:type="dxa"/>
            <w:tcBorders>
              <w:top w:val="nil"/>
              <w:left w:val="nil"/>
              <w:bottom w:val="nil"/>
              <w:right w:val="nil"/>
            </w:tcBorders>
          </w:tcPr>
          <w:p>
            <w:pPr>
              <w:pStyle w:val="0"/>
              <w:jc w:val="center"/>
            </w:pPr>
            <w:r>
              <w:rPr>
                <w:sz w:val="20"/>
              </w:rPr>
              <w:t xml:space="preserve">111,5</w:t>
            </w:r>
          </w:p>
        </w:tc>
        <w:tc>
          <w:tcPr>
            <w:tcW w:w="907" w:type="dxa"/>
            <w:tcBorders>
              <w:top w:val="nil"/>
              <w:left w:val="nil"/>
              <w:bottom w:val="nil"/>
              <w:right w:val="nil"/>
            </w:tcBorders>
          </w:tcPr>
          <w:p>
            <w:pPr>
              <w:pStyle w:val="0"/>
              <w:jc w:val="center"/>
            </w:pPr>
            <w:r>
              <w:rPr>
                <w:sz w:val="20"/>
              </w:rPr>
              <w:t xml:space="preserve">128,7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101,5</w:t>
            </w:r>
          </w:p>
        </w:tc>
        <w:tc>
          <w:tcPr>
            <w:tcW w:w="907" w:type="dxa"/>
            <w:tcBorders>
              <w:top w:val="nil"/>
              <w:left w:val="nil"/>
              <w:bottom w:val="nil"/>
              <w:right w:val="nil"/>
            </w:tcBorders>
          </w:tcPr>
          <w:p>
            <w:pPr>
              <w:pStyle w:val="0"/>
              <w:jc w:val="center"/>
            </w:pPr>
            <w:r>
              <w:rPr>
                <w:sz w:val="20"/>
              </w:rPr>
              <w:t xml:space="preserve">127</w:t>
            </w:r>
          </w:p>
        </w:tc>
        <w:tc>
          <w:tcPr>
            <w:tcW w:w="907" w:type="dxa"/>
            <w:tcBorders>
              <w:top w:val="nil"/>
              <w:left w:val="nil"/>
              <w:bottom w:val="nil"/>
              <w:right w:val="nil"/>
            </w:tcBorders>
          </w:tcPr>
          <w:p>
            <w:pPr>
              <w:pStyle w:val="0"/>
              <w:jc w:val="center"/>
            </w:pPr>
            <w:r>
              <w:rPr>
                <w:sz w:val="20"/>
              </w:rPr>
              <w:t xml:space="preserve">149,6</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2.1.11.</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по виду экономической деятельности "Операции с недвижимым имуществом"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93,8</w:t>
            </w:r>
          </w:p>
        </w:tc>
        <w:tc>
          <w:tcPr>
            <w:tcW w:w="907" w:type="dxa"/>
            <w:tcBorders>
              <w:top w:val="nil"/>
              <w:left w:val="nil"/>
              <w:bottom w:val="nil"/>
              <w:right w:val="nil"/>
            </w:tcBorders>
          </w:tcPr>
          <w:p>
            <w:pPr>
              <w:pStyle w:val="0"/>
              <w:jc w:val="center"/>
            </w:pPr>
            <w:r>
              <w:rPr>
                <w:sz w:val="20"/>
              </w:rPr>
              <w:t xml:space="preserve">107</w:t>
            </w:r>
          </w:p>
        </w:tc>
        <w:tc>
          <w:tcPr>
            <w:tcW w:w="907" w:type="dxa"/>
            <w:tcBorders>
              <w:top w:val="nil"/>
              <w:left w:val="nil"/>
              <w:bottom w:val="nil"/>
              <w:right w:val="nil"/>
            </w:tcBorders>
          </w:tcPr>
          <w:p>
            <w:pPr>
              <w:pStyle w:val="0"/>
              <w:jc w:val="center"/>
            </w:pPr>
            <w:r>
              <w:rPr>
                <w:sz w:val="20"/>
              </w:rPr>
              <w:t xml:space="preserve">118,4</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w:t>
            </w:r>
          </w:p>
        </w:tc>
        <w:tc>
          <w:tcPr>
            <w:tcW w:w="907" w:type="dxa"/>
            <w:tcBorders>
              <w:top w:val="nil"/>
              <w:left w:val="nil"/>
              <w:bottom w:val="nil"/>
              <w:right w:val="nil"/>
            </w:tcBorders>
          </w:tcPr>
          <w:p>
            <w:pPr>
              <w:pStyle w:val="0"/>
              <w:jc w:val="center"/>
            </w:pPr>
            <w:r>
              <w:rPr>
                <w:sz w:val="20"/>
              </w:rPr>
              <w:t xml:space="preserve">135</w:t>
            </w:r>
          </w:p>
        </w:tc>
        <w:tc>
          <w:tcPr>
            <w:tcW w:w="907" w:type="dxa"/>
            <w:tcBorders>
              <w:top w:val="nil"/>
              <w:left w:val="nil"/>
              <w:bottom w:val="nil"/>
              <w:right w:val="nil"/>
            </w:tcBorders>
          </w:tcPr>
          <w:p>
            <w:pPr>
              <w:pStyle w:val="0"/>
              <w:jc w:val="center"/>
            </w:pPr>
            <w:r>
              <w:rPr>
                <w:sz w:val="20"/>
              </w:rPr>
              <w:t xml:space="preserve">159,8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2.1.12.</w:t>
            </w:r>
          </w:p>
        </w:tc>
        <w:tc>
          <w:tcPr>
            <w:tcW w:w="3798" w:type="dxa"/>
            <w:tcBorders>
              <w:top w:val="nil"/>
              <w:left w:val="nil"/>
              <w:bottom w:val="nil"/>
              <w:right w:val="nil"/>
            </w:tcBorders>
            <w:vMerge w:val="restart"/>
          </w:tcPr>
          <w:p>
            <w:pPr>
              <w:pStyle w:val="0"/>
            </w:pPr>
            <w:r>
              <w:rPr>
                <w:sz w:val="20"/>
              </w:rPr>
              <w:t xml:space="preserve">Численность занятых по виду экономической деятельности "Операции с недвижимым имуществом"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1899,5</w:t>
            </w:r>
          </w:p>
        </w:tc>
        <w:tc>
          <w:tcPr>
            <w:tcW w:w="907" w:type="dxa"/>
            <w:tcBorders>
              <w:top w:val="nil"/>
              <w:left w:val="nil"/>
              <w:bottom w:val="nil"/>
              <w:right w:val="nil"/>
            </w:tcBorders>
          </w:tcPr>
          <w:p>
            <w:pPr>
              <w:pStyle w:val="0"/>
              <w:jc w:val="center"/>
            </w:pPr>
            <w:r>
              <w:rPr>
                <w:sz w:val="20"/>
              </w:rPr>
              <w:t xml:space="preserve">1804</w:t>
            </w:r>
          </w:p>
        </w:tc>
        <w:tc>
          <w:tcPr>
            <w:tcW w:w="907" w:type="dxa"/>
            <w:tcBorders>
              <w:top w:val="nil"/>
              <w:left w:val="nil"/>
              <w:bottom w:val="nil"/>
              <w:right w:val="nil"/>
            </w:tcBorders>
          </w:tcPr>
          <w:p>
            <w:pPr>
              <w:pStyle w:val="0"/>
              <w:jc w:val="center"/>
            </w:pPr>
            <w:r>
              <w:rPr>
                <w:sz w:val="20"/>
              </w:rPr>
              <w:t xml:space="preserve">1863</w:t>
            </w:r>
          </w:p>
        </w:tc>
        <w:tc>
          <w:tcPr>
            <w:tcW w:w="907" w:type="dxa"/>
            <w:tcBorders>
              <w:top w:val="nil"/>
              <w:left w:val="nil"/>
              <w:bottom w:val="nil"/>
              <w:right w:val="nil"/>
            </w:tcBorders>
          </w:tcPr>
          <w:p>
            <w:pPr>
              <w:pStyle w:val="0"/>
              <w:jc w:val="center"/>
            </w:pPr>
            <w:r>
              <w:rPr>
                <w:sz w:val="20"/>
              </w:rPr>
              <w:t xml:space="preserve">1930</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1899,5</w:t>
            </w:r>
          </w:p>
        </w:tc>
        <w:tc>
          <w:tcPr>
            <w:tcW w:w="907" w:type="dxa"/>
            <w:tcBorders>
              <w:top w:val="nil"/>
              <w:left w:val="nil"/>
              <w:bottom w:val="nil"/>
              <w:right w:val="nil"/>
            </w:tcBorders>
          </w:tcPr>
          <w:p>
            <w:pPr>
              <w:pStyle w:val="0"/>
              <w:jc w:val="center"/>
            </w:pPr>
            <w:r>
              <w:rPr>
                <w:sz w:val="20"/>
              </w:rPr>
              <w:t xml:space="preserve">1900</w:t>
            </w:r>
          </w:p>
        </w:tc>
        <w:tc>
          <w:tcPr>
            <w:tcW w:w="907" w:type="dxa"/>
            <w:tcBorders>
              <w:top w:val="nil"/>
              <w:left w:val="nil"/>
              <w:bottom w:val="nil"/>
              <w:right w:val="nil"/>
            </w:tcBorders>
          </w:tcPr>
          <w:p>
            <w:pPr>
              <w:pStyle w:val="0"/>
              <w:jc w:val="center"/>
            </w:pPr>
            <w:r>
              <w:rPr>
                <w:sz w:val="20"/>
              </w:rPr>
              <w:t xml:space="preserve">1956</w:t>
            </w:r>
          </w:p>
        </w:tc>
        <w:tc>
          <w:tcPr>
            <w:tcW w:w="907" w:type="dxa"/>
            <w:tcBorders>
              <w:top w:val="nil"/>
              <w:left w:val="nil"/>
              <w:bottom w:val="nil"/>
              <w:right w:val="nil"/>
            </w:tcBorders>
          </w:tcPr>
          <w:p>
            <w:pPr>
              <w:pStyle w:val="0"/>
              <w:jc w:val="center"/>
            </w:pPr>
            <w:r>
              <w:rPr>
                <w:sz w:val="20"/>
              </w:rPr>
              <w:t xml:space="preserve">1988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2.1.13.</w:t>
            </w:r>
          </w:p>
        </w:tc>
        <w:tc>
          <w:tcPr>
            <w:tcW w:w="3798" w:type="dxa"/>
            <w:tcBorders>
              <w:top w:val="nil"/>
              <w:left w:val="nil"/>
              <w:bottom w:val="nil"/>
              <w:right w:val="nil"/>
            </w:tcBorders>
            <w:vMerge w:val="restart"/>
          </w:tcPr>
          <w:p>
            <w:pPr>
              <w:pStyle w:val="0"/>
            </w:pPr>
            <w:r>
              <w:rPr>
                <w:sz w:val="20"/>
              </w:rPr>
              <w:t xml:space="preserve">Производительность труда по виду экономической деятельности "Операции с недвижимым имуществом"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101,6</w:t>
            </w:r>
          </w:p>
        </w:tc>
        <w:tc>
          <w:tcPr>
            <w:tcW w:w="907" w:type="dxa"/>
            <w:tcBorders>
              <w:top w:val="nil"/>
              <w:left w:val="nil"/>
              <w:bottom w:val="nil"/>
              <w:right w:val="nil"/>
            </w:tcBorders>
          </w:tcPr>
          <w:p>
            <w:pPr>
              <w:pStyle w:val="0"/>
              <w:jc w:val="center"/>
            </w:pPr>
            <w:r>
              <w:rPr>
                <w:sz w:val="20"/>
              </w:rPr>
              <w:t xml:space="preserve">116,5</w:t>
            </w:r>
          </w:p>
        </w:tc>
        <w:tc>
          <w:tcPr>
            <w:tcW w:w="907" w:type="dxa"/>
            <w:tcBorders>
              <w:top w:val="nil"/>
              <w:left w:val="nil"/>
              <w:bottom w:val="nil"/>
              <w:right w:val="nil"/>
            </w:tcBorders>
          </w:tcPr>
          <w:p>
            <w:pPr>
              <w:pStyle w:val="0"/>
              <w:jc w:val="center"/>
            </w:pPr>
            <w:r>
              <w:rPr>
                <w:sz w:val="20"/>
              </w:rPr>
              <w:t xml:space="preserve">129,7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103,9</w:t>
            </w:r>
          </w:p>
        </w:tc>
        <w:tc>
          <w:tcPr>
            <w:tcW w:w="907" w:type="dxa"/>
            <w:tcBorders>
              <w:top w:val="nil"/>
              <w:left w:val="nil"/>
              <w:bottom w:val="nil"/>
              <w:right w:val="nil"/>
            </w:tcBorders>
          </w:tcPr>
          <w:p>
            <w:pPr>
              <w:pStyle w:val="0"/>
              <w:jc w:val="center"/>
            </w:pPr>
            <w:r>
              <w:rPr>
                <w:sz w:val="20"/>
              </w:rPr>
              <w:t xml:space="preserve">126,4</w:t>
            </w:r>
          </w:p>
        </w:tc>
        <w:tc>
          <w:tcPr>
            <w:tcW w:w="907" w:type="dxa"/>
            <w:tcBorders>
              <w:top w:val="nil"/>
              <w:left w:val="nil"/>
              <w:bottom w:val="nil"/>
              <w:right w:val="nil"/>
            </w:tcBorders>
          </w:tcPr>
          <w:p>
            <w:pPr>
              <w:pStyle w:val="0"/>
              <w:jc w:val="center"/>
            </w:pPr>
            <w:r>
              <w:rPr>
                <w:sz w:val="20"/>
              </w:rPr>
              <w:t xml:space="preserve">146,4</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2.2. Жилищно-коммунальное хозяйство и городская среда</w:t>
            </w:r>
          </w:p>
        </w:tc>
      </w:tr>
      <w:tr>
        <w:tc>
          <w:tcPr>
            <w:tcW w:w="794" w:type="dxa"/>
            <w:tcBorders>
              <w:top w:val="nil"/>
              <w:left w:val="nil"/>
              <w:bottom w:val="nil"/>
              <w:right w:val="nil"/>
            </w:tcBorders>
            <w:vMerge w:val="restart"/>
          </w:tcPr>
          <w:p>
            <w:pPr>
              <w:pStyle w:val="0"/>
              <w:jc w:val="center"/>
            </w:pPr>
            <w:r>
              <w:rPr>
                <w:sz w:val="20"/>
              </w:rPr>
              <w:t xml:space="preserve">2.2.1.</w:t>
            </w:r>
          </w:p>
        </w:tc>
        <w:tc>
          <w:tcPr>
            <w:tcW w:w="3798" w:type="dxa"/>
            <w:tcBorders>
              <w:top w:val="nil"/>
              <w:left w:val="nil"/>
              <w:bottom w:val="nil"/>
              <w:right w:val="nil"/>
            </w:tcBorders>
            <w:vMerge w:val="restart"/>
          </w:tcPr>
          <w:p>
            <w:pPr>
              <w:pStyle w:val="0"/>
            </w:pPr>
            <w:r>
              <w:rPr>
                <w:sz w:val="20"/>
              </w:rPr>
              <w:t xml:space="preserve">Темпы замены сетевой инфраструктуры в теплоснабжении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 протяженности</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 </w:t>
            </w:r>
            <w:hyperlink w:history="0" w:anchor="P2089" w:tooltip="&lt;***&gt; Показатели в базовом сценарии учитывают реализацию программы модернизации коммунальной инфраструктуры с учетом софинансирования из средств бюджетов субъектов Российской Федерации и внебюджетных источников.">
              <w:r>
                <w:rPr>
                  <w:sz w:val="20"/>
                  <w:color w:val="0000ff"/>
                </w:rPr>
                <w:t xml:space="preserve">&lt;***&gt;</w:t>
              </w:r>
            </w:hyperlink>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2,6</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2.2.2.</w:t>
            </w:r>
          </w:p>
        </w:tc>
        <w:tc>
          <w:tcPr>
            <w:tcW w:w="3798" w:type="dxa"/>
            <w:tcBorders>
              <w:top w:val="nil"/>
              <w:left w:val="nil"/>
              <w:bottom w:val="nil"/>
              <w:right w:val="nil"/>
            </w:tcBorders>
            <w:vMerge w:val="restart"/>
          </w:tcPr>
          <w:p>
            <w:pPr>
              <w:pStyle w:val="0"/>
            </w:pPr>
            <w:r>
              <w:rPr>
                <w:sz w:val="20"/>
              </w:rPr>
              <w:t xml:space="preserve">Темпы замены сетевой инфраструктуры в водоснабжении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 протяженности</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 </w:t>
            </w:r>
            <w:hyperlink w:history="0" w:anchor="P2089" w:tooltip="&lt;***&gt; Показатели в базовом сценарии учитывают реализацию программы модернизации коммунальной инфраструктуры с учетом софинансирования из средств бюджетов субъектов Российской Федерации и внебюджетных источников.">
              <w:r>
                <w:rPr>
                  <w:sz w:val="20"/>
                  <w:color w:val="0000ff"/>
                </w:rPr>
                <w:t xml:space="preserve">&lt;***&gt;</w:t>
              </w:r>
            </w:hyperlink>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2,7</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2.2.3.</w:t>
            </w:r>
          </w:p>
        </w:tc>
        <w:tc>
          <w:tcPr>
            <w:tcW w:w="3798" w:type="dxa"/>
            <w:tcBorders>
              <w:top w:val="nil"/>
              <w:left w:val="nil"/>
              <w:bottom w:val="nil"/>
              <w:right w:val="nil"/>
            </w:tcBorders>
            <w:vMerge w:val="restart"/>
          </w:tcPr>
          <w:p>
            <w:pPr>
              <w:pStyle w:val="0"/>
            </w:pPr>
            <w:r>
              <w:rPr>
                <w:sz w:val="20"/>
              </w:rPr>
              <w:t xml:space="preserve">Темпы замены сетевой инфраструктуры в водоотведении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 протяженности</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0,4</w:t>
            </w:r>
          </w:p>
        </w:tc>
        <w:tc>
          <w:tcPr>
            <w:tcW w:w="907" w:type="dxa"/>
            <w:tcBorders>
              <w:top w:val="nil"/>
              <w:left w:val="nil"/>
              <w:bottom w:val="nil"/>
              <w:right w:val="nil"/>
            </w:tcBorders>
          </w:tcPr>
          <w:p>
            <w:pPr>
              <w:pStyle w:val="0"/>
              <w:jc w:val="center"/>
            </w:pPr>
            <w:r>
              <w:rPr>
                <w:sz w:val="20"/>
              </w:rPr>
              <w:t xml:space="preserve">0,4</w:t>
            </w:r>
          </w:p>
        </w:tc>
        <w:tc>
          <w:tcPr>
            <w:tcW w:w="907" w:type="dxa"/>
            <w:tcBorders>
              <w:top w:val="nil"/>
              <w:left w:val="nil"/>
              <w:bottom w:val="nil"/>
              <w:right w:val="nil"/>
            </w:tcBorders>
          </w:tcPr>
          <w:p>
            <w:pPr>
              <w:pStyle w:val="0"/>
              <w:jc w:val="center"/>
            </w:pPr>
            <w:r>
              <w:rPr>
                <w:sz w:val="20"/>
              </w:rPr>
              <w:t xml:space="preserve">1,4</w:t>
            </w:r>
          </w:p>
        </w:tc>
        <w:tc>
          <w:tcPr>
            <w:tcW w:w="907" w:type="dxa"/>
            <w:tcBorders>
              <w:top w:val="nil"/>
              <w:left w:val="nil"/>
              <w:bottom w:val="nil"/>
              <w:right w:val="nil"/>
            </w:tcBorders>
          </w:tcPr>
          <w:p>
            <w:pPr>
              <w:pStyle w:val="0"/>
              <w:jc w:val="center"/>
            </w:pPr>
            <w:r>
              <w:rPr>
                <w:sz w:val="20"/>
              </w:rPr>
              <w:t xml:space="preserve">1,5</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 </w:t>
            </w:r>
            <w:hyperlink w:history="0" w:anchor="P2089" w:tooltip="&lt;***&gt; Показатели в базовом сценарии учитывают реализацию программы модернизации коммунальной инфраструктуры с учетом софинансирования из средств бюджетов субъектов Российской Федерации и внебюджетных источников.">
              <w:r>
                <w:rPr>
                  <w:sz w:val="20"/>
                  <w:color w:val="0000ff"/>
                </w:rPr>
                <w:t xml:space="preserve">&lt;***&gt;</w:t>
              </w:r>
            </w:hyperlink>
          </w:p>
        </w:tc>
        <w:tc>
          <w:tcPr>
            <w:tcW w:w="907" w:type="dxa"/>
            <w:tcBorders>
              <w:top w:val="nil"/>
              <w:left w:val="nil"/>
              <w:bottom w:val="nil"/>
              <w:right w:val="nil"/>
            </w:tcBorders>
          </w:tcPr>
          <w:p>
            <w:pPr>
              <w:pStyle w:val="0"/>
              <w:jc w:val="center"/>
            </w:pPr>
            <w:r>
              <w:rPr>
                <w:sz w:val="20"/>
              </w:rPr>
              <w:t xml:space="preserve">0,4</w:t>
            </w:r>
          </w:p>
        </w:tc>
        <w:tc>
          <w:tcPr>
            <w:tcW w:w="907" w:type="dxa"/>
            <w:tcBorders>
              <w:top w:val="nil"/>
              <w:left w:val="nil"/>
              <w:bottom w:val="nil"/>
              <w:right w:val="nil"/>
            </w:tcBorders>
          </w:tcPr>
          <w:p>
            <w:pPr>
              <w:pStyle w:val="0"/>
              <w:jc w:val="center"/>
            </w:pPr>
            <w:r>
              <w:rPr>
                <w:sz w:val="20"/>
              </w:rPr>
              <w:t xml:space="preserve">2,1</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2.2.4.</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в жилищно-коммунальном хозяйстве по виду экономической деятельности "Обеспечение электрической энергией, газом и паром; кондиционирование воздуха"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93,9</w:t>
            </w:r>
          </w:p>
        </w:tc>
        <w:tc>
          <w:tcPr>
            <w:tcW w:w="907" w:type="dxa"/>
            <w:tcBorders>
              <w:top w:val="nil"/>
              <w:left w:val="nil"/>
              <w:bottom w:val="nil"/>
              <w:right w:val="nil"/>
            </w:tcBorders>
          </w:tcPr>
          <w:p>
            <w:pPr>
              <w:pStyle w:val="0"/>
              <w:jc w:val="center"/>
            </w:pPr>
            <w:r>
              <w:rPr>
                <w:sz w:val="20"/>
              </w:rPr>
              <w:t xml:space="preserve">101,4</w:t>
            </w:r>
          </w:p>
        </w:tc>
        <w:tc>
          <w:tcPr>
            <w:tcW w:w="907" w:type="dxa"/>
            <w:tcBorders>
              <w:top w:val="nil"/>
              <w:left w:val="nil"/>
              <w:bottom w:val="nil"/>
              <w:right w:val="nil"/>
            </w:tcBorders>
          </w:tcPr>
          <w:p>
            <w:pPr>
              <w:pStyle w:val="0"/>
              <w:jc w:val="center"/>
            </w:pPr>
            <w:r>
              <w:rPr>
                <w:sz w:val="20"/>
              </w:rPr>
              <w:t xml:space="preserve">111,3</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95,7</w:t>
            </w:r>
          </w:p>
        </w:tc>
        <w:tc>
          <w:tcPr>
            <w:tcW w:w="907" w:type="dxa"/>
            <w:tcBorders>
              <w:top w:val="nil"/>
              <w:left w:val="nil"/>
              <w:bottom w:val="nil"/>
              <w:right w:val="nil"/>
            </w:tcBorders>
          </w:tcPr>
          <w:p>
            <w:pPr>
              <w:pStyle w:val="0"/>
              <w:jc w:val="center"/>
            </w:pPr>
            <w:r>
              <w:rPr>
                <w:sz w:val="20"/>
              </w:rPr>
              <w:t xml:space="preserve">107,3</w:t>
            </w:r>
          </w:p>
        </w:tc>
        <w:tc>
          <w:tcPr>
            <w:tcW w:w="907" w:type="dxa"/>
            <w:tcBorders>
              <w:top w:val="nil"/>
              <w:left w:val="nil"/>
              <w:bottom w:val="nil"/>
              <w:right w:val="nil"/>
            </w:tcBorders>
          </w:tcPr>
          <w:p>
            <w:pPr>
              <w:pStyle w:val="0"/>
              <w:jc w:val="center"/>
            </w:pPr>
            <w:r>
              <w:rPr>
                <w:sz w:val="20"/>
              </w:rPr>
              <w:t xml:space="preserve">117,7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2.2.5.</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в жилищно-коммунальном хозяйстве по виду экономической деятельности "Обеспечение электрической энергией, газом и паром; кондиционирование воздуха"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95,9</w:t>
            </w:r>
          </w:p>
        </w:tc>
        <w:tc>
          <w:tcPr>
            <w:tcW w:w="907" w:type="dxa"/>
            <w:tcBorders>
              <w:top w:val="nil"/>
              <w:left w:val="nil"/>
              <w:bottom w:val="nil"/>
              <w:right w:val="nil"/>
            </w:tcBorders>
          </w:tcPr>
          <w:p>
            <w:pPr>
              <w:pStyle w:val="0"/>
              <w:jc w:val="center"/>
            </w:pPr>
            <w:r>
              <w:rPr>
                <w:sz w:val="20"/>
              </w:rPr>
              <w:t xml:space="preserve">113,7</w:t>
            </w:r>
          </w:p>
        </w:tc>
        <w:tc>
          <w:tcPr>
            <w:tcW w:w="907" w:type="dxa"/>
            <w:tcBorders>
              <w:top w:val="nil"/>
              <w:left w:val="nil"/>
              <w:bottom w:val="nil"/>
              <w:right w:val="nil"/>
            </w:tcBorders>
          </w:tcPr>
          <w:p>
            <w:pPr>
              <w:pStyle w:val="0"/>
              <w:jc w:val="center"/>
            </w:pPr>
            <w:r>
              <w:rPr>
                <w:sz w:val="20"/>
              </w:rPr>
              <w:t xml:space="preserve">129,7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115,9</w:t>
            </w:r>
          </w:p>
        </w:tc>
        <w:tc>
          <w:tcPr>
            <w:tcW w:w="907" w:type="dxa"/>
            <w:tcBorders>
              <w:top w:val="nil"/>
              <w:left w:val="nil"/>
              <w:bottom w:val="nil"/>
              <w:right w:val="nil"/>
            </w:tcBorders>
          </w:tcPr>
          <w:p>
            <w:pPr>
              <w:pStyle w:val="0"/>
              <w:jc w:val="center"/>
            </w:pPr>
            <w:r>
              <w:rPr>
                <w:sz w:val="20"/>
              </w:rPr>
              <w:t xml:space="preserve">144,3</w:t>
            </w:r>
          </w:p>
        </w:tc>
        <w:tc>
          <w:tcPr>
            <w:tcW w:w="907" w:type="dxa"/>
            <w:tcBorders>
              <w:top w:val="nil"/>
              <w:left w:val="nil"/>
              <w:bottom w:val="nil"/>
              <w:right w:val="nil"/>
            </w:tcBorders>
          </w:tcPr>
          <w:p>
            <w:pPr>
              <w:pStyle w:val="0"/>
              <w:jc w:val="center"/>
            </w:pPr>
            <w:r>
              <w:rPr>
                <w:sz w:val="20"/>
              </w:rPr>
              <w:t xml:space="preserve">164,6</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2.2.6.</w:t>
            </w:r>
          </w:p>
        </w:tc>
        <w:tc>
          <w:tcPr>
            <w:tcW w:w="3798" w:type="dxa"/>
            <w:tcBorders>
              <w:top w:val="nil"/>
              <w:left w:val="nil"/>
              <w:bottom w:val="nil"/>
              <w:right w:val="nil"/>
            </w:tcBorders>
            <w:vMerge w:val="restart"/>
          </w:tcPr>
          <w:p>
            <w:pPr>
              <w:pStyle w:val="0"/>
            </w:pPr>
            <w:r>
              <w:rPr>
                <w:sz w:val="20"/>
              </w:rPr>
              <w:t xml:space="preserve">Численность занятых в жилищно-коммунальном хозяйстве по виду экономической деятельности "Обеспечение электрической энергией, газом и паром; кондиционирование воздуха"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1583</w:t>
            </w:r>
          </w:p>
        </w:tc>
        <w:tc>
          <w:tcPr>
            <w:tcW w:w="907" w:type="dxa"/>
            <w:tcBorders>
              <w:top w:val="nil"/>
              <w:left w:val="nil"/>
              <w:bottom w:val="nil"/>
              <w:right w:val="nil"/>
            </w:tcBorders>
          </w:tcPr>
          <w:p>
            <w:pPr>
              <w:pStyle w:val="0"/>
              <w:jc w:val="center"/>
            </w:pPr>
            <w:r>
              <w:rPr>
                <w:sz w:val="20"/>
              </w:rPr>
              <w:t xml:space="preserve">1504</w:t>
            </w:r>
          </w:p>
        </w:tc>
        <w:tc>
          <w:tcPr>
            <w:tcW w:w="907" w:type="dxa"/>
            <w:tcBorders>
              <w:top w:val="nil"/>
              <w:left w:val="nil"/>
              <w:bottom w:val="nil"/>
              <w:right w:val="nil"/>
            </w:tcBorders>
          </w:tcPr>
          <w:p>
            <w:pPr>
              <w:pStyle w:val="0"/>
              <w:jc w:val="center"/>
            </w:pPr>
            <w:r>
              <w:rPr>
                <w:sz w:val="20"/>
              </w:rPr>
              <w:t xml:space="preserve">1424</w:t>
            </w:r>
          </w:p>
        </w:tc>
        <w:tc>
          <w:tcPr>
            <w:tcW w:w="907" w:type="dxa"/>
            <w:tcBorders>
              <w:top w:val="nil"/>
              <w:left w:val="nil"/>
              <w:bottom w:val="nil"/>
              <w:right w:val="nil"/>
            </w:tcBorders>
          </w:tcPr>
          <w:p>
            <w:pPr>
              <w:pStyle w:val="0"/>
              <w:jc w:val="center"/>
            </w:pPr>
            <w:r>
              <w:rPr>
                <w:sz w:val="20"/>
              </w:rPr>
              <w:t xml:space="preserve">1372</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1583</w:t>
            </w:r>
          </w:p>
        </w:tc>
        <w:tc>
          <w:tcPr>
            <w:tcW w:w="907" w:type="dxa"/>
            <w:tcBorders>
              <w:top w:val="nil"/>
              <w:left w:val="nil"/>
              <w:bottom w:val="nil"/>
              <w:right w:val="nil"/>
            </w:tcBorders>
          </w:tcPr>
          <w:p>
            <w:pPr>
              <w:pStyle w:val="0"/>
              <w:jc w:val="center"/>
            </w:pPr>
            <w:r>
              <w:rPr>
                <w:sz w:val="20"/>
              </w:rPr>
              <w:t xml:space="preserve">1513</w:t>
            </w:r>
          </w:p>
        </w:tc>
        <w:tc>
          <w:tcPr>
            <w:tcW w:w="907" w:type="dxa"/>
            <w:tcBorders>
              <w:top w:val="nil"/>
              <w:left w:val="nil"/>
              <w:bottom w:val="nil"/>
              <w:right w:val="nil"/>
            </w:tcBorders>
          </w:tcPr>
          <w:p>
            <w:pPr>
              <w:pStyle w:val="0"/>
              <w:jc w:val="center"/>
            </w:pPr>
            <w:r>
              <w:rPr>
                <w:sz w:val="20"/>
              </w:rPr>
              <w:t xml:space="preserve">1450</w:t>
            </w:r>
          </w:p>
        </w:tc>
        <w:tc>
          <w:tcPr>
            <w:tcW w:w="907" w:type="dxa"/>
            <w:tcBorders>
              <w:top w:val="nil"/>
              <w:left w:val="nil"/>
              <w:bottom w:val="nil"/>
              <w:right w:val="nil"/>
            </w:tcBorders>
          </w:tcPr>
          <w:p>
            <w:pPr>
              <w:pStyle w:val="0"/>
              <w:jc w:val="center"/>
            </w:pPr>
            <w:r>
              <w:rPr>
                <w:sz w:val="20"/>
              </w:rPr>
              <w:t xml:space="preserve">1397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2.2.7.</w:t>
            </w:r>
          </w:p>
        </w:tc>
        <w:tc>
          <w:tcPr>
            <w:tcW w:w="3798" w:type="dxa"/>
            <w:tcBorders>
              <w:top w:val="nil"/>
              <w:left w:val="nil"/>
              <w:bottom w:val="nil"/>
              <w:right w:val="nil"/>
            </w:tcBorders>
            <w:vMerge w:val="restart"/>
          </w:tcPr>
          <w:p>
            <w:pPr>
              <w:pStyle w:val="0"/>
            </w:pPr>
            <w:r>
              <w:rPr>
                <w:sz w:val="20"/>
              </w:rPr>
              <w:t xml:space="preserve">Производительность труда в жилищно-коммунальном хозяйстве по виду экономической деятельности "Обеспечение электрической энергией, газом и паром; кондиционирование воздуха"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99,8</w:t>
            </w:r>
          </w:p>
        </w:tc>
        <w:tc>
          <w:tcPr>
            <w:tcW w:w="907" w:type="dxa"/>
            <w:tcBorders>
              <w:top w:val="nil"/>
              <w:left w:val="nil"/>
              <w:bottom w:val="nil"/>
              <w:right w:val="nil"/>
            </w:tcBorders>
          </w:tcPr>
          <w:p>
            <w:pPr>
              <w:pStyle w:val="0"/>
              <w:jc w:val="center"/>
            </w:pPr>
            <w:r>
              <w:rPr>
                <w:sz w:val="20"/>
              </w:rPr>
              <w:t xml:space="preserve">113,9</w:t>
            </w:r>
          </w:p>
        </w:tc>
        <w:tc>
          <w:tcPr>
            <w:tcW w:w="907" w:type="dxa"/>
            <w:tcBorders>
              <w:top w:val="nil"/>
              <w:left w:val="nil"/>
              <w:bottom w:val="nil"/>
              <w:right w:val="nil"/>
            </w:tcBorders>
          </w:tcPr>
          <w:p>
            <w:pPr>
              <w:pStyle w:val="0"/>
              <w:jc w:val="center"/>
            </w:pPr>
            <w:r>
              <w:rPr>
                <w:sz w:val="20"/>
              </w:rPr>
              <w:t xml:space="preserve">129,7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101,1</w:t>
            </w:r>
          </w:p>
        </w:tc>
        <w:tc>
          <w:tcPr>
            <w:tcW w:w="907" w:type="dxa"/>
            <w:tcBorders>
              <w:top w:val="nil"/>
              <w:left w:val="nil"/>
              <w:bottom w:val="nil"/>
              <w:right w:val="nil"/>
            </w:tcBorders>
          </w:tcPr>
          <w:p>
            <w:pPr>
              <w:pStyle w:val="0"/>
              <w:jc w:val="center"/>
            </w:pPr>
            <w:r>
              <w:rPr>
                <w:sz w:val="20"/>
              </w:rPr>
              <w:t xml:space="preserve">118,3</w:t>
            </w:r>
          </w:p>
        </w:tc>
        <w:tc>
          <w:tcPr>
            <w:tcW w:w="907" w:type="dxa"/>
            <w:tcBorders>
              <w:top w:val="nil"/>
              <w:left w:val="nil"/>
              <w:bottom w:val="nil"/>
              <w:right w:val="nil"/>
            </w:tcBorders>
          </w:tcPr>
          <w:p>
            <w:pPr>
              <w:pStyle w:val="0"/>
              <w:jc w:val="center"/>
            </w:pPr>
            <w:r>
              <w:rPr>
                <w:sz w:val="20"/>
              </w:rPr>
              <w:t xml:space="preserve">134,7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2.2.8.</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91,8</w:t>
            </w:r>
          </w:p>
        </w:tc>
        <w:tc>
          <w:tcPr>
            <w:tcW w:w="907" w:type="dxa"/>
            <w:tcBorders>
              <w:top w:val="nil"/>
              <w:left w:val="nil"/>
              <w:bottom w:val="nil"/>
              <w:right w:val="nil"/>
            </w:tcBorders>
          </w:tcPr>
          <w:p>
            <w:pPr>
              <w:pStyle w:val="0"/>
              <w:jc w:val="center"/>
            </w:pPr>
            <w:r>
              <w:rPr>
                <w:sz w:val="20"/>
              </w:rPr>
              <w:t xml:space="preserve">104</w:t>
            </w:r>
          </w:p>
        </w:tc>
        <w:tc>
          <w:tcPr>
            <w:tcW w:w="907" w:type="dxa"/>
            <w:tcBorders>
              <w:top w:val="nil"/>
              <w:left w:val="nil"/>
              <w:bottom w:val="nil"/>
              <w:right w:val="nil"/>
            </w:tcBorders>
          </w:tcPr>
          <w:p>
            <w:pPr>
              <w:pStyle w:val="0"/>
              <w:jc w:val="center"/>
            </w:pPr>
            <w:r>
              <w:rPr>
                <w:sz w:val="20"/>
              </w:rPr>
              <w:t xml:space="preserve">117,6</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93</w:t>
            </w:r>
          </w:p>
        </w:tc>
        <w:tc>
          <w:tcPr>
            <w:tcW w:w="907" w:type="dxa"/>
            <w:tcBorders>
              <w:top w:val="nil"/>
              <w:left w:val="nil"/>
              <w:bottom w:val="nil"/>
              <w:right w:val="nil"/>
            </w:tcBorders>
          </w:tcPr>
          <w:p>
            <w:pPr>
              <w:pStyle w:val="0"/>
              <w:jc w:val="center"/>
            </w:pPr>
            <w:r>
              <w:rPr>
                <w:sz w:val="20"/>
              </w:rPr>
              <w:t xml:space="preserve">108,1</w:t>
            </w:r>
          </w:p>
        </w:tc>
        <w:tc>
          <w:tcPr>
            <w:tcW w:w="907" w:type="dxa"/>
            <w:tcBorders>
              <w:top w:val="nil"/>
              <w:left w:val="nil"/>
              <w:bottom w:val="nil"/>
              <w:right w:val="nil"/>
            </w:tcBorders>
          </w:tcPr>
          <w:p>
            <w:pPr>
              <w:pStyle w:val="0"/>
              <w:jc w:val="center"/>
            </w:pPr>
            <w:r>
              <w:rPr>
                <w:sz w:val="20"/>
              </w:rPr>
              <w:t xml:space="preserve">122,1</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2.2.9</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86,9</w:t>
            </w:r>
          </w:p>
        </w:tc>
        <w:tc>
          <w:tcPr>
            <w:tcW w:w="907" w:type="dxa"/>
            <w:tcBorders>
              <w:top w:val="nil"/>
              <w:left w:val="nil"/>
              <w:bottom w:val="nil"/>
              <w:right w:val="nil"/>
            </w:tcBorders>
          </w:tcPr>
          <w:p>
            <w:pPr>
              <w:pStyle w:val="0"/>
              <w:jc w:val="center"/>
            </w:pPr>
            <w:r>
              <w:rPr>
                <w:sz w:val="20"/>
              </w:rPr>
              <w:t xml:space="preserve">110,5</w:t>
            </w:r>
          </w:p>
        </w:tc>
        <w:tc>
          <w:tcPr>
            <w:tcW w:w="907" w:type="dxa"/>
            <w:tcBorders>
              <w:top w:val="nil"/>
              <w:left w:val="nil"/>
              <w:bottom w:val="nil"/>
              <w:right w:val="nil"/>
            </w:tcBorders>
          </w:tcPr>
          <w:p>
            <w:pPr>
              <w:pStyle w:val="0"/>
              <w:jc w:val="center"/>
            </w:pPr>
            <w:r>
              <w:rPr>
                <w:sz w:val="20"/>
              </w:rPr>
              <w:t xml:space="preserve">136,6</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106,8</w:t>
            </w:r>
          </w:p>
        </w:tc>
        <w:tc>
          <w:tcPr>
            <w:tcW w:w="907" w:type="dxa"/>
            <w:tcBorders>
              <w:top w:val="nil"/>
              <w:left w:val="nil"/>
              <w:bottom w:val="nil"/>
              <w:right w:val="nil"/>
            </w:tcBorders>
          </w:tcPr>
          <w:p>
            <w:pPr>
              <w:pStyle w:val="0"/>
              <w:jc w:val="center"/>
            </w:pPr>
            <w:r>
              <w:rPr>
                <w:sz w:val="20"/>
              </w:rPr>
              <w:t xml:space="preserve">145,5</w:t>
            </w:r>
          </w:p>
        </w:tc>
        <w:tc>
          <w:tcPr>
            <w:tcW w:w="907" w:type="dxa"/>
            <w:tcBorders>
              <w:top w:val="nil"/>
              <w:left w:val="nil"/>
              <w:bottom w:val="nil"/>
              <w:right w:val="nil"/>
            </w:tcBorders>
          </w:tcPr>
          <w:p>
            <w:pPr>
              <w:pStyle w:val="0"/>
              <w:jc w:val="center"/>
            </w:pPr>
            <w:r>
              <w:rPr>
                <w:sz w:val="20"/>
              </w:rPr>
              <w:t xml:space="preserve">180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2.2.10.</w:t>
            </w:r>
          </w:p>
        </w:tc>
        <w:tc>
          <w:tcPr>
            <w:tcW w:w="3798" w:type="dxa"/>
            <w:tcBorders>
              <w:top w:val="nil"/>
              <w:left w:val="nil"/>
              <w:bottom w:val="nil"/>
              <w:right w:val="nil"/>
            </w:tcBorders>
            <w:vMerge w:val="restart"/>
          </w:tcPr>
          <w:p>
            <w:pPr>
              <w:pStyle w:val="0"/>
            </w:pPr>
            <w:r>
              <w:rPr>
                <w:sz w:val="20"/>
              </w:rPr>
              <w:t xml:space="preserve">Численность занятых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708,8</w:t>
            </w:r>
          </w:p>
        </w:tc>
        <w:tc>
          <w:tcPr>
            <w:tcW w:w="907" w:type="dxa"/>
            <w:tcBorders>
              <w:top w:val="nil"/>
              <w:left w:val="nil"/>
              <w:bottom w:val="nil"/>
              <w:right w:val="nil"/>
            </w:tcBorders>
          </w:tcPr>
          <w:p>
            <w:pPr>
              <w:pStyle w:val="0"/>
              <w:jc w:val="center"/>
            </w:pPr>
            <w:r>
              <w:rPr>
                <w:sz w:val="20"/>
              </w:rPr>
              <w:t xml:space="preserve">673,6</w:t>
            </w:r>
          </w:p>
        </w:tc>
        <w:tc>
          <w:tcPr>
            <w:tcW w:w="907" w:type="dxa"/>
            <w:tcBorders>
              <w:top w:val="nil"/>
              <w:left w:val="nil"/>
              <w:bottom w:val="nil"/>
              <w:right w:val="nil"/>
            </w:tcBorders>
          </w:tcPr>
          <w:p>
            <w:pPr>
              <w:pStyle w:val="0"/>
              <w:jc w:val="center"/>
            </w:pPr>
            <w:r>
              <w:rPr>
                <w:sz w:val="20"/>
              </w:rPr>
              <w:t xml:space="preserve">677,6</w:t>
            </w:r>
          </w:p>
        </w:tc>
        <w:tc>
          <w:tcPr>
            <w:tcW w:w="907" w:type="dxa"/>
            <w:tcBorders>
              <w:top w:val="nil"/>
              <w:left w:val="nil"/>
              <w:bottom w:val="nil"/>
              <w:right w:val="nil"/>
            </w:tcBorders>
          </w:tcPr>
          <w:p>
            <w:pPr>
              <w:pStyle w:val="0"/>
              <w:jc w:val="center"/>
            </w:pPr>
            <w:r>
              <w:rPr>
                <w:sz w:val="20"/>
              </w:rPr>
              <w:t xml:space="preserve">693</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708,8</w:t>
            </w:r>
          </w:p>
        </w:tc>
        <w:tc>
          <w:tcPr>
            <w:tcW w:w="907" w:type="dxa"/>
            <w:tcBorders>
              <w:top w:val="nil"/>
              <w:left w:val="nil"/>
              <w:bottom w:val="nil"/>
              <w:right w:val="nil"/>
            </w:tcBorders>
          </w:tcPr>
          <w:p>
            <w:pPr>
              <w:pStyle w:val="0"/>
              <w:jc w:val="center"/>
            </w:pPr>
            <w:r>
              <w:rPr>
                <w:sz w:val="20"/>
              </w:rPr>
              <w:t xml:space="preserve">679</w:t>
            </w:r>
          </w:p>
        </w:tc>
        <w:tc>
          <w:tcPr>
            <w:tcW w:w="907" w:type="dxa"/>
            <w:tcBorders>
              <w:top w:val="nil"/>
              <w:left w:val="nil"/>
              <w:bottom w:val="nil"/>
              <w:right w:val="nil"/>
            </w:tcBorders>
          </w:tcPr>
          <w:p>
            <w:pPr>
              <w:pStyle w:val="0"/>
              <w:jc w:val="center"/>
            </w:pPr>
            <w:r>
              <w:rPr>
                <w:sz w:val="20"/>
              </w:rPr>
              <w:t xml:space="preserve">693,7</w:t>
            </w:r>
          </w:p>
        </w:tc>
        <w:tc>
          <w:tcPr>
            <w:tcW w:w="907" w:type="dxa"/>
            <w:tcBorders>
              <w:top w:val="nil"/>
              <w:left w:val="nil"/>
              <w:bottom w:val="nil"/>
              <w:right w:val="nil"/>
            </w:tcBorders>
          </w:tcPr>
          <w:p>
            <w:pPr>
              <w:pStyle w:val="0"/>
              <w:jc w:val="center"/>
            </w:pPr>
            <w:r>
              <w:rPr>
                <w:sz w:val="20"/>
              </w:rPr>
              <w:t xml:space="preserve">709,5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2.2.11.</w:t>
            </w:r>
          </w:p>
        </w:tc>
        <w:tc>
          <w:tcPr>
            <w:tcW w:w="3798" w:type="dxa"/>
            <w:tcBorders>
              <w:top w:val="nil"/>
              <w:left w:val="nil"/>
              <w:bottom w:val="nil"/>
              <w:right w:val="nil"/>
            </w:tcBorders>
            <w:vMerge w:val="restart"/>
          </w:tcPr>
          <w:p>
            <w:pPr>
              <w:pStyle w:val="0"/>
            </w:pPr>
            <w:r>
              <w:rPr>
                <w:sz w:val="20"/>
              </w:rPr>
              <w:t xml:space="preserve">Производительность труда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к 2021 году </w:t>
            </w:r>
            <w:hyperlink w:history="0" w:anchor="P2088" w:tooltip="&lt;**&gt; Значения показателя указаны при принятии решения о выделении необходимого финансирования на соответствующие мероприятия с 2025 года.">
              <w:r>
                <w:rPr>
                  <w:sz w:val="20"/>
                  <w:color w:val="0000ff"/>
                </w:rPr>
                <w:t xml:space="preserve">&lt;**&gt;</w:t>
              </w:r>
            </w:hyperlink>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97,6</w:t>
            </w:r>
          </w:p>
        </w:tc>
        <w:tc>
          <w:tcPr>
            <w:tcW w:w="907" w:type="dxa"/>
            <w:tcBorders>
              <w:top w:val="nil"/>
              <w:left w:val="nil"/>
              <w:bottom w:val="nil"/>
              <w:right w:val="nil"/>
            </w:tcBorders>
          </w:tcPr>
          <w:p>
            <w:pPr>
              <w:pStyle w:val="0"/>
              <w:jc w:val="center"/>
            </w:pPr>
            <w:r>
              <w:rPr>
                <w:sz w:val="20"/>
              </w:rPr>
              <w:t xml:space="preserve">109,9</w:t>
            </w:r>
          </w:p>
        </w:tc>
        <w:tc>
          <w:tcPr>
            <w:tcW w:w="907" w:type="dxa"/>
            <w:tcBorders>
              <w:top w:val="nil"/>
              <w:left w:val="nil"/>
              <w:bottom w:val="nil"/>
              <w:right w:val="nil"/>
            </w:tcBorders>
          </w:tcPr>
          <w:p>
            <w:pPr>
              <w:pStyle w:val="0"/>
              <w:jc w:val="center"/>
            </w:pPr>
            <w:r>
              <w:rPr>
                <w:sz w:val="20"/>
              </w:rPr>
              <w:t xml:space="preserve">121,4</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98,1</w:t>
            </w:r>
          </w:p>
        </w:tc>
        <w:tc>
          <w:tcPr>
            <w:tcW w:w="907" w:type="dxa"/>
            <w:tcBorders>
              <w:top w:val="nil"/>
              <w:left w:val="nil"/>
              <w:bottom w:val="nil"/>
              <w:right w:val="nil"/>
            </w:tcBorders>
          </w:tcPr>
          <w:p>
            <w:pPr>
              <w:pStyle w:val="0"/>
              <w:jc w:val="center"/>
            </w:pPr>
            <w:r>
              <w:rPr>
                <w:sz w:val="20"/>
              </w:rPr>
              <w:t xml:space="preserve">111,5</w:t>
            </w:r>
          </w:p>
        </w:tc>
        <w:tc>
          <w:tcPr>
            <w:tcW w:w="907" w:type="dxa"/>
            <w:tcBorders>
              <w:top w:val="nil"/>
              <w:left w:val="nil"/>
              <w:bottom w:val="nil"/>
              <w:right w:val="nil"/>
            </w:tcBorders>
          </w:tcPr>
          <w:p>
            <w:pPr>
              <w:pStyle w:val="0"/>
              <w:jc w:val="center"/>
            </w:pPr>
            <w:r>
              <w:rPr>
                <w:sz w:val="20"/>
              </w:rPr>
              <w:t xml:space="preserve">123,3</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2.3. Цифровая трансформация отрасли строительства и жилищно-коммунального хозяйства</w:t>
            </w:r>
          </w:p>
        </w:tc>
      </w:tr>
      <w:tr>
        <w:tc>
          <w:tcPr>
            <w:tcW w:w="794" w:type="dxa"/>
            <w:tcBorders>
              <w:top w:val="nil"/>
              <w:left w:val="nil"/>
              <w:bottom w:val="nil"/>
              <w:right w:val="nil"/>
            </w:tcBorders>
            <w:vMerge w:val="restart"/>
          </w:tcPr>
          <w:p>
            <w:pPr>
              <w:pStyle w:val="0"/>
              <w:jc w:val="center"/>
            </w:pPr>
            <w:r>
              <w:rPr>
                <w:sz w:val="20"/>
              </w:rPr>
              <w:t xml:space="preserve">2.3.1.</w:t>
            </w:r>
          </w:p>
        </w:tc>
        <w:tc>
          <w:tcPr>
            <w:tcW w:w="3798" w:type="dxa"/>
            <w:tcBorders>
              <w:top w:val="nil"/>
              <w:left w:val="nil"/>
              <w:bottom w:val="nil"/>
              <w:right w:val="nil"/>
            </w:tcBorders>
            <w:vMerge w:val="restart"/>
          </w:tcPr>
          <w:p>
            <w:pPr>
              <w:pStyle w:val="0"/>
            </w:pPr>
            <w:r>
              <w:rPr>
                <w:sz w:val="20"/>
              </w:rPr>
              <w:t xml:space="preserve">Доля объектов, по которым выдано положительное заключение государственной экспертизы, документация по которым подготовлена в форме информационной модели</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0</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50</w:t>
            </w:r>
          </w:p>
        </w:tc>
        <w:tc>
          <w:tcPr>
            <w:tcW w:w="1303" w:type="dxa"/>
            <w:tcBorders>
              <w:top w:val="nil"/>
              <w:left w:val="nil"/>
              <w:bottom w:val="nil"/>
              <w:right w:val="nil"/>
            </w:tcBorders>
            <w:vMerge w:val="restart"/>
          </w:tcPr>
          <w:p>
            <w:pPr>
              <w:pStyle w:val="0"/>
              <w:jc w:val="center"/>
            </w:pPr>
            <w:r>
              <w:rPr>
                <w:sz w:val="20"/>
              </w:rPr>
              <w:t xml:space="preserve">данные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0</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50</w:t>
            </w:r>
          </w:p>
        </w:tc>
        <w:tc>
          <w:tcPr>
            <w:tcW w:w="907" w:type="dxa"/>
            <w:tcBorders>
              <w:top w:val="nil"/>
              <w:left w:val="nil"/>
              <w:bottom w:val="nil"/>
              <w:right w:val="nil"/>
            </w:tcBorders>
          </w:tcPr>
          <w:p>
            <w:pPr>
              <w:pStyle w:val="0"/>
              <w:jc w:val="center"/>
            </w:pPr>
            <w:r>
              <w:rPr>
                <w:sz w:val="20"/>
              </w:rPr>
              <w:t xml:space="preserve">70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2.3.2.</w:t>
            </w:r>
          </w:p>
        </w:tc>
        <w:tc>
          <w:tcPr>
            <w:tcW w:w="3798" w:type="dxa"/>
            <w:tcBorders>
              <w:top w:val="nil"/>
              <w:left w:val="nil"/>
              <w:bottom w:val="nil"/>
              <w:right w:val="nil"/>
            </w:tcBorders>
            <w:vMerge w:val="restart"/>
          </w:tcPr>
          <w:p>
            <w:pPr>
              <w:pStyle w:val="0"/>
            </w:pPr>
            <w:r>
              <w:rPr>
                <w:sz w:val="20"/>
              </w:rPr>
              <w:t xml:space="preserve">Количество жизненных ситуаций, охватываемых в рамках суперсервиса "Цифровое строительство"</w:t>
            </w:r>
          </w:p>
        </w:tc>
        <w:tc>
          <w:tcPr>
            <w:tcW w:w="1303" w:type="dxa"/>
            <w:tcBorders>
              <w:top w:val="nil"/>
              <w:left w:val="nil"/>
              <w:bottom w:val="nil"/>
              <w:right w:val="nil"/>
            </w:tcBorders>
            <w:vMerge w:val="restart"/>
          </w:tcPr>
          <w:p>
            <w:pPr>
              <w:pStyle w:val="0"/>
              <w:jc w:val="center"/>
            </w:pPr>
            <w:r>
              <w:rPr>
                <w:sz w:val="20"/>
              </w:rPr>
              <w:t xml:space="preserve">штук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w:t>
            </w:r>
          </w:p>
        </w:tc>
        <w:tc>
          <w:tcPr>
            <w:tcW w:w="907" w:type="dxa"/>
            <w:tcBorders>
              <w:top w:val="nil"/>
              <w:left w:val="nil"/>
              <w:bottom w:val="nil"/>
              <w:right w:val="nil"/>
            </w:tcBorders>
          </w:tcPr>
          <w:p>
            <w:pPr>
              <w:pStyle w:val="0"/>
              <w:jc w:val="center"/>
            </w:pPr>
            <w:r>
              <w:rPr>
                <w:sz w:val="20"/>
              </w:rPr>
              <w:t xml:space="preserve">29</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w:t>
            </w:r>
          </w:p>
        </w:tc>
        <w:tc>
          <w:tcPr>
            <w:tcW w:w="1303" w:type="dxa"/>
            <w:tcBorders>
              <w:top w:val="nil"/>
              <w:left w:val="nil"/>
              <w:bottom w:val="nil"/>
              <w:right w:val="nil"/>
            </w:tcBorders>
            <w:vMerge w:val="restart"/>
          </w:tcPr>
          <w:p>
            <w:pPr>
              <w:pStyle w:val="0"/>
              <w:jc w:val="center"/>
            </w:pPr>
            <w:r>
              <w:rPr>
                <w:sz w:val="20"/>
              </w:rPr>
              <w:t xml:space="preserve">акционерное общество "ДОМ.РФ"</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w:t>
            </w:r>
          </w:p>
        </w:tc>
        <w:tc>
          <w:tcPr>
            <w:tcW w:w="907" w:type="dxa"/>
            <w:tcBorders>
              <w:top w:val="nil"/>
              <w:left w:val="nil"/>
              <w:bottom w:val="nil"/>
              <w:right w:val="nil"/>
            </w:tcBorders>
          </w:tcPr>
          <w:p>
            <w:pPr>
              <w:pStyle w:val="0"/>
              <w:jc w:val="center"/>
            </w:pPr>
            <w:r>
              <w:rPr>
                <w:sz w:val="20"/>
              </w:rPr>
              <w:t xml:space="preserve">32</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2.3.3.</w:t>
            </w:r>
          </w:p>
        </w:tc>
        <w:tc>
          <w:tcPr>
            <w:tcW w:w="3798" w:type="dxa"/>
            <w:tcBorders>
              <w:top w:val="nil"/>
              <w:left w:val="nil"/>
              <w:bottom w:val="nil"/>
              <w:right w:val="nil"/>
            </w:tcBorders>
            <w:vMerge w:val="restart"/>
          </w:tcPr>
          <w:p>
            <w:pPr>
              <w:pStyle w:val="0"/>
            </w:pPr>
            <w:r>
              <w:rPr>
                <w:sz w:val="20"/>
              </w:rPr>
              <w:t xml:space="preserve">Доля жителей городов в возрасте от 14 лет, имеющих возможность принять участие в принятии решений по вопросам городского развития с использованием цифровых технологий</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55</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65</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2.3.4.</w:t>
            </w:r>
          </w:p>
        </w:tc>
        <w:tc>
          <w:tcPr>
            <w:tcW w:w="3798" w:type="dxa"/>
            <w:tcBorders>
              <w:top w:val="nil"/>
              <w:left w:val="nil"/>
              <w:bottom w:val="nil"/>
              <w:right w:val="nil"/>
            </w:tcBorders>
            <w:vMerge w:val="restart"/>
          </w:tcPr>
          <w:p>
            <w:pPr>
              <w:pStyle w:val="0"/>
            </w:pPr>
            <w:r>
              <w:rPr>
                <w:sz w:val="20"/>
              </w:rPr>
              <w:t xml:space="preserve">Доля общих собраний собственников помещений в многоквартирных домах, проведенных посредством электронного голосования, в общем количестве проведенных общих собраний собственников</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2"/>
              <w:jc w:val="center"/>
            </w:pPr>
            <w:r>
              <w:rPr>
                <w:sz w:val="20"/>
              </w:rPr>
              <w:t xml:space="preserve">3. Минимизация негативного воздействия на окружающую среду</w:t>
            </w:r>
          </w:p>
        </w:tc>
      </w:tr>
      <w:tr>
        <w:tc>
          <w:tcPr>
            <w:tcW w:w="794" w:type="dxa"/>
            <w:tcBorders>
              <w:top w:val="nil"/>
              <w:left w:val="nil"/>
              <w:bottom w:val="nil"/>
              <w:right w:val="nil"/>
            </w:tcBorders>
            <w:vMerge w:val="restart"/>
          </w:tcPr>
          <w:p>
            <w:pPr>
              <w:pStyle w:val="0"/>
              <w:jc w:val="center"/>
            </w:pPr>
            <w:r>
              <w:rPr>
                <w:sz w:val="20"/>
              </w:rPr>
              <w:t xml:space="preserve">3.1.</w:t>
            </w:r>
          </w:p>
        </w:tc>
        <w:tc>
          <w:tcPr>
            <w:tcW w:w="3798" w:type="dxa"/>
            <w:tcBorders>
              <w:top w:val="nil"/>
              <w:left w:val="nil"/>
              <w:bottom w:val="nil"/>
              <w:right w:val="nil"/>
            </w:tcBorders>
            <w:vMerge w:val="restart"/>
          </w:tcPr>
          <w:p>
            <w:pPr>
              <w:pStyle w:val="0"/>
            </w:pPr>
            <w:r>
              <w:rPr>
                <w:sz w:val="20"/>
              </w:rPr>
              <w:t xml:space="preserve">Снижение выброса парниковых газов за счет снижения потерь на тепловых сетях в результате проведения ежегодной замены тепловых сетей (к 2019 году)</w:t>
            </w:r>
          </w:p>
        </w:tc>
        <w:tc>
          <w:tcPr>
            <w:tcW w:w="1303" w:type="dxa"/>
            <w:tcBorders>
              <w:top w:val="nil"/>
              <w:left w:val="nil"/>
              <w:bottom w:val="nil"/>
              <w:right w:val="nil"/>
            </w:tcBorders>
            <w:vMerge w:val="restart"/>
          </w:tcPr>
          <w:p>
            <w:pPr>
              <w:pStyle w:val="0"/>
              <w:jc w:val="center"/>
            </w:pPr>
            <w:r>
              <w:rPr>
                <w:sz w:val="20"/>
              </w:rPr>
              <w:t xml:space="preserve">млн. тонн эквивалента CO2</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1,95</w:t>
            </w:r>
          </w:p>
        </w:tc>
        <w:tc>
          <w:tcPr>
            <w:tcW w:w="907" w:type="dxa"/>
            <w:tcBorders>
              <w:top w:val="nil"/>
              <w:left w:val="nil"/>
              <w:bottom w:val="nil"/>
              <w:right w:val="nil"/>
            </w:tcBorders>
          </w:tcPr>
          <w:p>
            <w:pPr>
              <w:pStyle w:val="0"/>
              <w:jc w:val="center"/>
            </w:pPr>
            <w:r>
              <w:rPr>
                <w:sz w:val="20"/>
              </w:rPr>
              <w:t xml:space="preserve">0,45</w:t>
            </w:r>
          </w:p>
        </w:tc>
        <w:tc>
          <w:tcPr>
            <w:tcW w:w="907" w:type="dxa"/>
            <w:tcBorders>
              <w:top w:val="nil"/>
              <w:left w:val="nil"/>
              <w:bottom w:val="nil"/>
              <w:right w:val="nil"/>
            </w:tcBorders>
          </w:tcPr>
          <w:p>
            <w:pPr>
              <w:pStyle w:val="0"/>
              <w:jc w:val="center"/>
            </w:pPr>
            <w:r>
              <w:rPr>
                <w:sz w:val="20"/>
              </w:rPr>
              <w:t xml:space="preserve">7,83</w:t>
            </w:r>
          </w:p>
        </w:tc>
        <w:tc>
          <w:tcPr>
            <w:tcW w:w="907" w:type="dxa"/>
            <w:tcBorders>
              <w:top w:val="nil"/>
              <w:left w:val="nil"/>
              <w:bottom w:val="nil"/>
              <w:right w:val="nil"/>
            </w:tcBorders>
          </w:tcPr>
          <w:p>
            <w:pPr>
              <w:pStyle w:val="0"/>
              <w:jc w:val="center"/>
            </w:pPr>
            <w:r>
              <w:rPr>
                <w:sz w:val="20"/>
              </w:rPr>
              <w:t xml:space="preserve">20,13</w:t>
            </w:r>
          </w:p>
        </w:tc>
        <w:tc>
          <w:tcPr>
            <w:tcW w:w="1303" w:type="dxa"/>
            <w:tcBorders>
              <w:top w:val="nil"/>
              <w:left w:val="nil"/>
              <w:bottom w:val="nil"/>
              <w:right w:val="nil"/>
            </w:tcBorders>
            <w:vMerge w:val="restart"/>
          </w:tcPr>
          <w:p>
            <w:pPr>
              <w:pStyle w:val="0"/>
              <w:jc w:val="center"/>
            </w:pPr>
            <w:r>
              <w:rPr>
                <w:sz w:val="20"/>
              </w:rPr>
              <w:t xml:space="preserve">Минстрой России, Минэкономразвития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1,95</w:t>
            </w:r>
          </w:p>
        </w:tc>
        <w:tc>
          <w:tcPr>
            <w:tcW w:w="907" w:type="dxa"/>
            <w:tcBorders>
              <w:top w:val="nil"/>
              <w:left w:val="nil"/>
              <w:bottom w:val="nil"/>
              <w:right w:val="nil"/>
            </w:tcBorders>
          </w:tcPr>
          <w:p>
            <w:pPr>
              <w:pStyle w:val="0"/>
              <w:jc w:val="center"/>
            </w:pPr>
            <w:r>
              <w:rPr>
                <w:sz w:val="20"/>
              </w:rPr>
              <w:t xml:space="preserve">4,95</w:t>
            </w:r>
          </w:p>
        </w:tc>
        <w:tc>
          <w:tcPr>
            <w:tcW w:w="907" w:type="dxa"/>
            <w:tcBorders>
              <w:top w:val="nil"/>
              <w:left w:val="nil"/>
              <w:bottom w:val="nil"/>
              <w:right w:val="nil"/>
            </w:tcBorders>
          </w:tcPr>
          <w:p>
            <w:pPr>
              <w:pStyle w:val="0"/>
              <w:jc w:val="center"/>
            </w:pPr>
            <w:r>
              <w:rPr>
                <w:sz w:val="20"/>
              </w:rPr>
              <w:t xml:space="preserve">20,95</w:t>
            </w:r>
          </w:p>
        </w:tc>
        <w:tc>
          <w:tcPr>
            <w:tcW w:w="907" w:type="dxa"/>
            <w:tcBorders>
              <w:top w:val="nil"/>
              <w:left w:val="nil"/>
              <w:bottom w:val="nil"/>
              <w:right w:val="nil"/>
            </w:tcBorders>
          </w:tcPr>
          <w:p>
            <w:pPr>
              <w:pStyle w:val="0"/>
              <w:jc w:val="center"/>
            </w:pPr>
            <w:r>
              <w:rPr>
                <w:sz w:val="20"/>
              </w:rPr>
              <w:t xml:space="preserve">47,58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3.2</w:t>
            </w:r>
          </w:p>
        </w:tc>
        <w:tc>
          <w:tcPr>
            <w:tcW w:w="3798" w:type="dxa"/>
            <w:tcBorders>
              <w:top w:val="nil"/>
              <w:left w:val="nil"/>
              <w:bottom w:val="nil"/>
              <w:right w:val="nil"/>
            </w:tcBorders>
            <w:vMerge w:val="restart"/>
          </w:tcPr>
          <w:p>
            <w:pPr>
              <w:pStyle w:val="0"/>
            </w:pPr>
            <w:r>
              <w:rPr>
                <w:sz w:val="20"/>
              </w:rPr>
              <w:t xml:space="preserve">Снижение выброса парниковых газов за счет повышения экологичности объектов тепловой генерации вследствие модернизации с замещением низкоэкологичных видов топлива (уголь, мазут) (к 2019 году)</w:t>
            </w:r>
          </w:p>
        </w:tc>
        <w:tc>
          <w:tcPr>
            <w:tcW w:w="1303" w:type="dxa"/>
            <w:tcBorders>
              <w:top w:val="nil"/>
              <w:left w:val="nil"/>
              <w:bottom w:val="nil"/>
              <w:right w:val="nil"/>
            </w:tcBorders>
            <w:vMerge w:val="restart"/>
          </w:tcPr>
          <w:p>
            <w:pPr>
              <w:pStyle w:val="0"/>
              <w:jc w:val="center"/>
            </w:pPr>
            <w:r>
              <w:rPr>
                <w:sz w:val="20"/>
              </w:rPr>
              <w:t xml:space="preserve">млн. тонн эквивалента CO2</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2,66</w:t>
            </w:r>
          </w:p>
        </w:tc>
        <w:tc>
          <w:tcPr>
            <w:tcW w:w="907" w:type="dxa"/>
            <w:tcBorders>
              <w:top w:val="nil"/>
              <w:left w:val="nil"/>
              <w:bottom w:val="nil"/>
              <w:right w:val="nil"/>
            </w:tcBorders>
          </w:tcPr>
          <w:p>
            <w:pPr>
              <w:pStyle w:val="0"/>
              <w:jc w:val="center"/>
            </w:pPr>
            <w:r>
              <w:rPr>
                <w:sz w:val="20"/>
              </w:rPr>
              <w:t xml:space="preserve">2,68</w:t>
            </w:r>
          </w:p>
        </w:tc>
        <w:tc>
          <w:tcPr>
            <w:tcW w:w="907" w:type="dxa"/>
            <w:tcBorders>
              <w:top w:val="nil"/>
              <w:left w:val="nil"/>
              <w:bottom w:val="nil"/>
              <w:right w:val="nil"/>
            </w:tcBorders>
          </w:tcPr>
          <w:p>
            <w:pPr>
              <w:pStyle w:val="0"/>
              <w:jc w:val="center"/>
            </w:pPr>
            <w:r>
              <w:rPr>
                <w:sz w:val="20"/>
              </w:rPr>
              <w:t xml:space="preserve">12</w:t>
            </w:r>
          </w:p>
        </w:tc>
        <w:tc>
          <w:tcPr>
            <w:tcW w:w="907" w:type="dxa"/>
            <w:tcBorders>
              <w:top w:val="nil"/>
              <w:left w:val="nil"/>
              <w:bottom w:val="nil"/>
              <w:right w:val="nil"/>
            </w:tcBorders>
          </w:tcPr>
          <w:p>
            <w:pPr>
              <w:pStyle w:val="0"/>
              <w:jc w:val="center"/>
            </w:pPr>
            <w:r>
              <w:rPr>
                <w:sz w:val="20"/>
              </w:rPr>
              <w:t xml:space="preserve">24,23</w:t>
            </w:r>
          </w:p>
        </w:tc>
        <w:tc>
          <w:tcPr>
            <w:tcW w:w="1303" w:type="dxa"/>
            <w:tcBorders>
              <w:top w:val="nil"/>
              <w:left w:val="nil"/>
              <w:bottom w:val="nil"/>
              <w:right w:val="nil"/>
            </w:tcBorders>
            <w:vMerge w:val="restart"/>
          </w:tcPr>
          <w:p>
            <w:pPr>
              <w:pStyle w:val="0"/>
              <w:jc w:val="center"/>
            </w:pPr>
            <w:r>
              <w:rPr>
                <w:sz w:val="20"/>
              </w:rPr>
              <w:t xml:space="preserve">Минстрой России, Минэкономразвития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2,66</w:t>
            </w:r>
          </w:p>
        </w:tc>
        <w:tc>
          <w:tcPr>
            <w:tcW w:w="907" w:type="dxa"/>
            <w:tcBorders>
              <w:top w:val="nil"/>
              <w:left w:val="nil"/>
              <w:bottom w:val="nil"/>
              <w:right w:val="nil"/>
            </w:tcBorders>
          </w:tcPr>
          <w:p>
            <w:pPr>
              <w:pStyle w:val="0"/>
              <w:jc w:val="center"/>
            </w:pPr>
            <w:r>
              <w:rPr>
                <w:sz w:val="20"/>
              </w:rPr>
              <w:t xml:space="preserve">16,62</w:t>
            </w:r>
          </w:p>
        </w:tc>
        <w:tc>
          <w:tcPr>
            <w:tcW w:w="907" w:type="dxa"/>
            <w:tcBorders>
              <w:top w:val="nil"/>
              <w:left w:val="nil"/>
              <w:bottom w:val="nil"/>
              <w:right w:val="nil"/>
            </w:tcBorders>
          </w:tcPr>
          <w:p>
            <w:pPr>
              <w:pStyle w:val="0"/>
              <w:jc w:val="center"/>
            </w:pPr>
            <w:r>
              <w:rPr>
                <w:sz w:val="20"/>
              </w:rPr>
              <w:t xml:space="preserve">36,56</w:t>
            </w:r>
          </w:p>
        </w:tc>
        <w:tc>
          <w:tcPr>
            <w:tcW w:w="907" w:type="dxa"/>
            <w:tcBorders>
              <w:top w:val="nil"/>
              <w:left w:val="nil"/>
              <w:bottom w:val="nil"/>
              <w:right w:val="nil"/>
            </w:tcBorders>
          </w:tcPr>
          <w:p>
            <w:pPr>
              <w:pStyle w:val="0"/>
              <w:jc w:val="center"/>
            </w:pPr>
            <w:r>
              <w:rPr>
                <w:sz w:val="20"/>
              </w:rPr>
              <w:t xml:space="preserve">53,17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3.3</w:t>
            </w:r>
          </w:p>
        </w:tc>
        <w:tc>
          <w:tcPr>
            <w:tcW w:w="3798" w:type="dxa"/>
            <w:tcBorders>
              <w:top w:val="nil"/>
              <w:left w:val="nil"/>
              <w:bottom w:val="nil"/>
              <w:right w:val="nil"/>
            </w:tcBorders>
            <w:vMerge w:val="restart"/>
          </w:tcPr>
          <w:p>
            <w:pPr>
              <w:pStyle w:val="0"/>
            </w:pPr>
            <w:r>
              <w:rPr>
                <w:sz w:val="20"/>
              </w:rPr>
              <w:t xml:space="preserve">Изменение удельных выбросов парниковых газов в бытовом секторе к 2019 году</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85,3</w:t>
            </w:r>
          </w:p>
        </w:tc>
        <w:tc>
          <w:tcPr>
            <w:tcW w:w="907" w:type="dxa"/>
            <w:tcBorders>
              <w:top w:val="nil"/>
              <w:left w:val="nil"/>
              <w:bottom w:val="nil"/>
              <w:right w:val="nil"/>
            </w:tcBorders>
          </w:tcPr>
          <w:p>
            <w:pPr>
              <w:pStyle w:val="0"/>
              <w:jc w:val="center"/>
            </w:pPr>
            <w:r>
              <w:rPr>
                <w:sz w:val="20"/>
              </w:rPr>
              <w:t xml:space="preserve">86</w:t>
            </w:r>
          </w:p>
        </w:tc>
        <w:tc>
          <w:tcPr>
            <w:tcW w:w="907" w:type="dxa"/>
            <w:tcBorders>
              <w:top w:val="nil"/>
              <w:left w:val="nil"/>
              <w:bottom w:val="nil"/>
              <w:right w:val="nil"/>
            </w:tcBorders>
          </w:tcPr>
          <w:p>
            <w:pPr>
              <w:pStyle w:val="0"/>
              <w:jc w:val="center"/>
            </w:pPr>
            <w:r>
              <w:rPr>
                <w:sz w:val="20"/>
              </w:rPr>
              <w:t xml:space="preserve">86,9</w:t>
            </w:r>
          </w:p>
        </w:tc>
        <w:tc>
          <w:tcPr>
            <w:tcW w:w="1303" w:type="dxa"/>
            <w:tcBorders>
              <w:top w:val="nil"/>
              <w:left w:val="nil"/>
              <w:bottom w:val="nil"/>
              <w:right w:val="nil"/>
            </w:tcBorders>
            <w:vMerge w:val="restart"/>
          </w:tcPr>
          <w:p>
            <w:pPr>
              <w:pStyle w:val="0"/>
              <w:jc w:val="center"/>
            </w:pPr>
            <w:r>
              <w:rPr>
                <w:sz w:val="20"/>
              </w:rPr>
              <w:t xml:space="preserve">Минстрой России, Минэкономразвития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73,4</w:t>
            </w:r>
          </w:p>
        </w:tc>
        <w:tc>
          <w:tcPr>
            <w:tcW w:w="907" w:type="dxa"/>
            <w:tcBorders>
              <w:top w:val="nil"/>
              <w:left w:val="nil"/>
              <w:bottom w:val="nil"/>
              <w:right w:val="nil"/>
            </w:tcBorders>
          </w:tcPr>
          <w:p>
            <w:pPr>
              <w:pStyle w:val="0"/>
              <w:jc w:val="center"/>
            </w:pPr>
            <w:r>
              <w:rPr>
                <w:sz w:val="20"/>
              </w:rPr>
              <w:t xml:space="preserve">75,5</w:t>
            </w:r>
          </w:p>
        </w:tc>
        <w:tc>
          <w:tcPr>
            <w:tcW w:w="907" w:type="dxa"/>
            <w:tcBorders>
              <w:top w:val="nil"/>
              <w:left w:val="nil"/>
              <w:bottom w:val="nil"/>
              <w:right w:val="nil"/>
            </w:tcBorders>
          </w:tcPr>
          <w:p>
            <w:pPr>
              <w:pStyle w:val="0"/>
              <w:jc w:val="center"/>
            </w:pPr>
            <w:r>
              <w:rPr>
                <w:sz w:val="20"/>
              </w:rPr>
              <w:t xml:space="preserve">76,8</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2"/>
              <w:jc w:val="center"/>
            </w:pPr>
            <w:r>
              <w:rPr>
                <w:sz w:val="20"/>
              </w:rPr>
              <w:t xml:space="preserve">4. Промышленность строительных материалов</w:t>
            </w:r>
          </w:p>
        </w:tc>
      </w:tr>
      <w:tr>
        <w:tc>
          <w:tcPr>
            <w:tcW w:w="794" w:type="dxa"/>
            <w:tcBorders>
              <w:top w:val="nil"/>
              <w:left w:val="nil"/>
              <w:bottom w:val="nil"/>
              <w:right w:val="nil"/>
            </w:tcBorders>
            <w:vMerge w:val="restart"/>
          </w:tcPr>
          <w:p>
            <w:pPr>
              <w:pStyle w:val="0"/>
              <w:jc w:val="center"/>
            </w:pPr>
            <w:r>
              <w:rPr>
                <w:sz w:val="20"/>
              </w:rPr>
              <w:t xml:space="preserve">4.1.</w:t>
            </w:r>
          </w:p>
        </w:tc>
        <w:tc>
          <w:tcPr>
            <w:tcW w:w="3798" w:type="dxa"/>
            <w:tcBorders>
              <w:top w:val="nil"/>
              <w:left w:val="nil"/>
              <w:bottom w:val="nil"/>
              <w:right w:val="nil"/>
            </w:tcBorders>
            <w:vMerge w:val="restart"/>
          </w:tcPr>
          <w:p>
            <w:pPr>
              <w:pStyle w:val="0"/>
            </w:pPr>
            <w:r>
              <w:rPr>
                <w:sz w:val="20"/>
              </w:rPr>
              <w:t xml:space="preserve">Снижение доли фальсифицированных строительных материалов, используемых при строительстве объектов капитального строительства</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60</w:t>
            </w:r>
          </w:p>
        </w:tc>
        <w:tc>
          <w:tcPr>
            <w:tcW w:w="1303" w:type="dxa"/>
            <w:tcBorders>
              <w:top w:val="nil"/>
              <w:left w:val="nil"/>
              <w:bottom w:val="nil"/>
              <w:right w:val="nil"/>
            </w:tcBorders>
            <w:vMerge w:val="restart"/>
          </w:tcPr>
          <w:p>
            <w:pPr>
              <w:pStyle w:val="0"/>
              <w:jc w:val="center"/>
            </w:pPr>
            <w:r>
              <w:rPr>
                <w:sz w:val="20"/>
              </w:rPr>
              <w:t xml:space="preserve">Минстрой России, Минпромторг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50</w:t>
            </w:r>
          </w:p>
        </w:tc>
        <w:tc>
          <w:tcPr>
            <w:tcW w:w="907" w:type="dxa"/>
            <w:tcBorders>
              <w:top w:val="nil"/>
              <w:left w:val="nil"/>
              <w:bottom w:val="nil"/>
              <w:right w:val="nil"/>
            </w:tcBorders>
          </w:tcPr>
          <w:p>
            <w:pPr>
              <w:pStyle w:val="0"/>
              <w:jc w:val="center"/>
            </w:pPr>
            <w:r>
              <w:rPr>
                <w:sz w:val="20"/>
              </w:rPr>
              <w:t xml:space="preserve">80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4.2.</w:t>
            </w:r>
          </w:p>
        </w:tc>
        <w:tc>
          <w:tcPr>
            <w:tcW w:w="3798" w:type="dxa"/>
            <w:tcBorders>
              <w:top w:val="nil"/>
              <w:left w:val="nil"/>
              <w:bottom w:val="nil"/>
              <w:right w:val="nil"/>
            </w:tcBorders>
            <w:vMerge w:val="restart"/>
          </w:tcPr>
          <w:p>
            <w:pPr>
              <w:pStyle w:val="0"/>
            </w:pPr>
            <w:r>
              <w:rPr>
                <w:sz w:val="20"/>
              </w:rPr>
              <w:t xml:space="preserve">Снижение доли импортируемых строительных материалов, используемых при строительстве объектов капитального строительства</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30</w:t>
            </w:r>
          </w:p>
        </w:tc>
        <w:tc>
          <w:tcPr>
            <w:tcW w:w="1303" w:type="dxa"/>
            <w:tcBorders>
              <w:top w:val="nil"/>
              <w:left w:val="nil"/>
              <w:bottom w:val="nil"/>
              <w:right w:val="nil"/>
            </w:tcBorders>
            <w:vMerge w:val="restart"/>
          </w:tcPr>
          <w:p>
            <w:pPr>
              <w:pStyle w:val="0"/>
              <w:jc w:val="center"/>
            </w:pPr>
            <w:r>
              <w:rPr>
                <w:sz w:val="20"/>
              </w:rPr>
              <w:t xml:space="preserve">Минстрой России, Минпромторг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25</w:t>
            </w:r>
          </w:p>
        </w:tc>
        <w:tc>
          <w:tcPr>
            <w:tcW w:w="907" w:type="dxa"/>
            <w:tcBorders>
              <w:top w:val="nil"/>
              <w:left w:val="nil"/>
              <w:bottom w:val="nil"/>
              <w:right w:val="nil"/>
            </w:tcBorders>
          </w:tcPr>
          <w:p>
            <w:pPr>
              <w:pStyle w:val="0"/>
              <w:jc w:val="center"/>
            </w:pPr>
            <w:r>
              <w:rPr>
                <w:sz w:val="20"/>
              </w:rPr>
              <w:t xml:space="preserve">50</w:t>
            </w:r>
          </w:p>
        </w:tc>
        <w:tc>
          <w:tcPr>
            <w:tcBorders>
              <w:top w:val="nil"/>
              <w:left w:val="nil"/>
              <w:bottom w:val="nil"/>
              <w:right w:val="nil"/>
            </w:tcBorders>
            <w:vMerge w:val="continue"/>
          </w:tcPr>
          <w:p/>
        </w:tc>
      </w:tr>
      <w:tr>
        <w:tc>
          <w:tcPr>
            <w:tcW w:w="794" w:type="dxa"/>
            <w:tcBorders>
              <w:top w:val="nil"/>
              <w:left w:val="nil"/>
              <w:bottom w:val="single" w:sz="4"/>
              <w:right w:val="nil"/>
            </w:tcBorders>
            <w:vMerge w:val="restart"/>
          </w:tcPr>
          <w:p>
            <w:pPr>
              <w:pStyle w:val="0"/>
              <w:jc w:val="center"/>
            </w:pPr>
            <w:r>
              <w:rPr>
                <w:sz w:val="20"/>
              </w:rPr>
              <w:t xml:space="preserve">4.3.</w:t>
            </w:r>
          </w:p>
        </w:tc>
        <w:tc>
          <w:tcPr>
            <w:tcW w:w="3798" w:type="dxa"/>
            <w:tcBorders>
              <w:top w:val="nil"/>
              <w:left w:val="nil"/>
              <w:bottom w:val="single" w:sz="4"/>
              <w:right w:val="nil"/>
            </w:tcBorders>
            <w:vMerge w:val="restart"/>
          </w:tcPr>
          <w:p>
            <w:pPr>
              <w:pStyle w:val="0"/>
            </w:pPr>
            <w:r>
              <w:rPr>
                <w:sz w:val="20"/>
              </w:rPr>
              <w:t xml:space="preserve">Увеличение доли индустриального домостроения (в т.ч. панельного, сборно-монолитного каркаса, блочно-модульного, деревянного) в общем объеме строительства объектов капитального строительства</w:t>
            </w:r>
          </w:p>
        </w:tc>
        <w:tc>
          <w:tcPr>
            <w:tcW w:w="1303" w:type="dxa"/>
            <w:tcBorders>
              <w:top w:val="nil"/>
              <w:left w:val="nil"/>
              <w:bottom w:val="single" w:sz="4"/>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60</w:t>
            </w:r>
          </w:p>
        </w:tc>
        <w:tc>
          <w:tcPr>
            <w:tcW w:w="1303" w:type="dxa"/>
            <w:tcBorders>
              <w:top w:val="nil"/>
              <w:left w:val="nil"/>
              <w:bottom w:val="single" w:sz="4"/>
              <w:right w:val="nil"/>
            </w:tcBorders>
            <w:vMerge w:val="restart"/>
          </w:tcPr>
          <w:p>
            <w:pPr>
              <w:pStyle w:val="0"/>
              <w:jc w:val="center"/>
            </w:pPr>
            <w:r>
              <w:rPr>
                <w:sz w:val="20"/>
              </w:rPr>
              <w:t xml:space="preserve">Минстрой России, Минпромторг России</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793" w:type="dxa"/>
            <w:tcBorders>
              <w:top w:val="nil"/>
              <w:left w:val="nil"/>
              <w:bottom w:val="single" w:sz="4"/>
              <w:right w:val="nil"/>
            </w:tcBorders>
          </w:tcPr>
          <w:p>
            <w:pPr>
              <w:pStyle w:val="0"/>
              <w:jc w:val="center"/>
            </w:pPr>
            <w:r>
              <w:rPr>
                <w:sz w:val="20"/>
              </w:rPr>
              <w:t xml:space="preserve">Б</w:t>
            </w:r>
          </w:p>
        </w:tc>
        <w:tc>
          <w:tcPr>
            <w:tcW w:w="907" w:type="dxa"/>
            <w:tcBorders>
              <w:top w:val="nil"/>
              <w:left w:val="nil"/>
              <w:bottom w:val="single" w:sz="4"/>
              <w:right w:val="nil"/>
            </w:tcBorders>
          </w:tcPr>
          <w:p>
            <w:pPr>
              <w:pStyle w:val="0"/>
              <w:jc w:val="center"/>
            </w:pPr>
            <w:r>
              <w:rPr>
                <w:sz w:val="20"/>
              </w:rPr>
              <w:t xml:space="preserve">-</w:t>
            </w:r>
          </w:p>
        </w:tc>
        <w:tc>
          <w:tcPr>
            <w:tcW w:w="907" w:type="dxa"/>
            <w:tcBorders>
              <w:top w:val="nil"/>
              <w:left w:val="nil"/>
              <w:bottom w:val="single" w:sz="4"/>
              <w:right w:val="nil"/>
            </w:tcBorders>
          </w:tcPr>
          <w:p>
            <w:pPr>
              <w:pStyle w:val="0"/>
              <w:jc w:val="center"/>
            </w:pPr>
            <w:r>
              <w:rPr>
                <w:sz w:val="20"/>
              </w:rPr>
              <w:t xml:space="preserve">35</w:t>
            </w:r>
          </w:p>
        </w:tc>
        <w:tc>
          <w:tcPr>
            <w:tcW w:w="907" w:type="dxa"/>
            <w:tcBorders>
              <w:top w:val="nil"/>
              <w:left w:val="nil"/>
              <w:bottom w:val="single" w:sz="4"/>
              <w:right w:val="nil"/>
            </w:tcBorders>
          </w:tcPr>
          <w:p>
            <w:pPr>
              <w:pStyle w:val="0"/>
              <w:jc w:val="center"/>
            </w:pPr>
            <w:r>
              <w:rPr>
                <w:sz w:val="20"/>
              </w:rPr>
              <w:t xml:space="preserve">60</w:t>
            </w:r>
          </w:p>
        </w:tc>
        <w:tc>
          <w:tcPr>
            <w:tcW w:w="907" w:type="dxa"/>
            <w:tcBorders>
              <w:top w:val="nil"/>
              <w:left w:val="nil"/>
              <w:bottom w:val="single" w:sz="4"/>
              <w:right w:val="nil"/>
            </w:tcBorders>
          </w:tcPr>
          <w:p>
            <w:pPr>
              <w:pStyle w:val="0"/>
              <w:jc w:val="center"/>
            </w:pPr>
            <w:r>
              <w:rPr>
                <w:sz w:val="20"/>
              </w:rPr>
              <w:t xml:space="preserve">75</w:t>
            </w:r>
          </w:p>
        </w:tc>
        <w:tc>
          <w:tcPr>
            <w:tcBorders>
              <w:top w:val="nil"/>
              <w:left w:val="nil"/>
              <w:bottom w:val="single" w:sz="4"/>
              <w:right w:val="nil"/>
            </w:tcBorders>
            <w:vMerge w:val="continue"/>
          </w:tcPr>
          <w:p/>
        </w:tc>
      </w:tr>
    </w:tbl>
    <w:p>
      <w:pPr>
        <w:sectPr>
          <w:headerReference w:type="default" r:id="rId73"/>
          <w:headerReference w:type="first" r:id="rId73"/>
          <w:footerReference w:type="default" r:id="rId74"/>
          <w:footerReference w:type="first" r:id="rId74"/>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087" w:name="P2087"/>
    <w:bookmarkEnd w:id="2087"/>
    <w:p>
      <w:pPr>
        <w:pStyle w:val="0"/>
        <w:spacing w:before="200" w:line-rule="auto"/>
        <w:ind w:firstLine="540"/>
        <w:jc w:val="both"/>
      </w:pPr>
      <w:r>
        <w:rPr>
          <w:sz w:val="20"/>
        </w:rPr>
        <w:t xml:space="preserve">&lt;*&gt; В случае внесения изменений в прогнозы социально-экономического развития Российской Федерации, разрабатываемые Министерством экономического развития Российской Федерации, целевые показатели Стратегии подлежат актуализации в целях снижения риска существенного отклонения их фактических значений от прогнозных.</w:t>
      </w:r>
    </w:p>
    <w:bookmarkStart w:id="2088" w:name="P2088"/>
    <w:bookmarkEnd w:id="2088"/>
    <w:p>
      <w:pPr>
        <w:pStyle w:val="0"/>
        <w:spacing w:before="200" w:line-rule="auto"/>
        <w:ind w:firstLine="540"/>
        <w:jc w:val="both"/>
      </w:pPr>
      <w:r>
        <w:rPr>
          <w:sz w:val="20"/>
        </w:rPr>
        <w:t xml:space="preserve">&lt;**&gt; Значения показателя указаны при принятии решения о выделении необходимого финансирования на соответствующие мероприятия с 2025 года.</w:t>
      </w:r>
    </w:p>
    <w:bookmarkStart w:id="2089" w:name="P2089"/>
    <w:bookmarkEnd w:id="2089"/>
    <w:p>
      <w:pPr>
        <w:pStyle w:val="0"/>
        <w:spacing w:before="200" w:line-rule="auto"/>
        <w:ind w:firstLine="540"/>
        <w:jc w:val="both"/>
      </w:pPr>
      <w:r>
        <w:rPr>
          <w:sz w:val="20"/>
        </w:rPr>
        <w:t xml:space="preserve">&lt;***&gt; Показатели в базовом сценарии учитывают реализацию программы модернизации коммунальной инфраструктуры с учетом софинансирования из средств бюджетов субъектов Российской Федерации и внебюджетных источников.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31.10.2022 N 3268-р</w:t>
            <w:br/>
            <w:t>(ред. от 21.10.2024)</w:t>
            <w:br/>
            <w:t>&lt;Об утверждении Стратегии развития строительно...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Правительства РФ от 31.10.2022 N 3268-р</w:t>
            <w:br/>
            <w:t>(ред. от 21.10.2024)</w:t>
            <w:br/>
            <w:t>&lt;Об утверждении Стратегии развития строительно...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57792&amp;dst=100043" TargetMode = "External"/>
	<Relationship Id="rId8" Type="http://schemas.openxmlformats.org/officeDocument/2006/relationships/hyperlink" Target="https://login.consultant.ru/link/?req=doc&amp;base=RZR&amp;n=476792&amp;dst=100082" TargetMode = "External"/>
	<Relationship Id="rId9" Type="http://schemas.openxmlformats.org/officeDocument/2006/relationships/hyperlink" Target="https://login.consultant.ru/link/?req=doc&amp;base=RZR&amp;n=503109&amp;dst=100023" TargetMode = "External"/>
	<Relationship Id="rId10" Type="http://schemas.openxmlformats.org/officeDocument/2006/relationships/hyperlink" Target="https://login.consultant.ru/link/?req=doc&amp;base=RZR&amp;n=457792&amp;dst=100043" TargetMode = "External"/>
	<Relationship Id="rId11" Type="http://schemas.openxmlformats.org/officeDocument/2006/relationships/hyperlink" Target="https://login.consultant.ru/link/?req=doc&amp;base=RZR&amp;n=476792&amp;dst=100082" TargetMode = "External"/>
	<Relationship Id="rId12" Type="http://schemas.openxmlformats.org/officeDocument/2006/relationships/hyperlink" Target="https://login.consultant.ru/link/?req=doc&amp;base=RZR&amp;n=503109&amp;dst=100023" TargetMode = "External"/>
	<Relationship Id="rId13" Type="http://schemas.openxmlformats.org/officeDocument/2006/relationships/hyperlink" Target="https://login.consultant.ru/link/?req=doc&amp;base=RZR&amp;n=480785&amp;dst=1" TargetMode = "External"/>
	<Relationship Id="rId14" Type="http://schemas.openxmlformats.org/officeDocument/2006/relationships/hyperlink" Target="https://login.consultant.ru/link/?req=doc&amp;base=RZR&amp;n=470973&amp;dst=100016" TargetMode = "External"/>
	<Relationship Id="rId15" Type="http://schemas.openxmlformats.org/officeDocument/2006/relationships/hyperlink" Target="https://login.consultant.ru/link/?req=doc&amp;base=RZR&amp;n=503109&amp;dst=100023" TargetMode = "External"/>
	<Relationship Id="rId16" Type="http://schemas.openxmlformats.org/officeDocument/2006/relationships/hyperlink" Target="https://login.consultant.ru/link/?req=doc&amp;base=RZR&amp;n=215668&amp;dst=100013" TargetMode = "External"/>
	<Relationship Id="rId17" Type="http://schemas.openxmlformats.org/officeDocument/2006/relationships/hyperlink" Target="https://login.consultant.ru/link/?req=doc&amp;base=RZR&amp;n=216629&amp;dst=100018" TargetMode = "External"/>
	<Relationship Id="rId18" Type="http://schemas.openxmlformats.org/officeDocument/2006/relationships/hyperlink" Target="https://login.consultant.ru/link/?req=doc&amp;base=RZR&amp;n=389271&amp;dst=100013" TargetMode = "External"/>
	<Relationship Id="rId19" Type="http://schemas.openxmlformats.org/officeDocument/2006/relationships/hyperlink" Target="https://login.consultant.ru/link/?req=doc&amp;base=RZR&amp;n=211112&amp;dst=100009" TargetMode = "External"/>
	<Relationship Id="rId20" Type="http://schemas.openxmlformats.org/officeDocument/2006/relationships/hyperlink" Target="https://login.consultant.ru/link/?req=doc&amp;base=RZR&amp;n=207726&amp;dst=100011" TargetMode = "External"/>
	<Relationship Id="rId21" Type="http://schemas.openxmlformats.org/officeDocument/2006/relationships/hyperlink" Target="https://login.consultant.ru/link/?req=doc&amp;base=RZR&amp;n=429265&amp;dst=100012" TargetMode = "External"/>
	<Relationship Id="rId22" Type="http://schemas.openxmlformats.org/officeDocument/2006/relationships/hyperlink" Target="https://login.consultant.ru/link/?req=doc&amp;base=RZR&amp;n=428211&amp;dst=100009" TargetMode = "External"/>
	<Relationship Id="rId23" Type="http://schemas.openxmlformats.org/officeDocument/2006/relationships/hyperlink" Target="https://login.consultant.ru/link/?req=doc&amp;base=RZR&amp;n=409150&amp;dst=100012" TargetMode = "External"/>
	<Relationship Id="rId24" Type="http://schemas.openxmlformats.org/officeDocument/2006/relationships/hyperlink" Target="https://login.consultant.ru/link/?req=doc&amp;base=RZR&amp;n=498907&amp;dst=100012" TargetMode = "External"/>
	<Relationship Id="rId25" Type="http://schemas.openxmlformats.org/officeDocument/2006/relationships/hyperlink" Target="https://login.consultant.ru/link/?req=doc&amp;base=RZR&amp;n=377162&amp;dst=100014" TargetMode = "External"/>
	<Relationship Id="rId26" Type="http://schemas.openxmlformats.org/officeDocument/2006/relationships/hyperlink" Target="https://login.consultant.ru/link/?req=doc&amp;base=RZR&amp;n=399657&amp;dst=100015" TargetMode = "External"/>
	<Relationship Id="rId27" Type="http://schemas.openxmlformats.org/officeDocument/2006/relationships/hyperlink" Target="https://login.consultant.ru/link/?req=doc&amp;base=RZR&amp;n=489969&amp;dst=100020" TargetMode = "External"/>
	<Relationship Id="rId28" Type="http://schemas.openxmlformats.org/officeDocument/2006/relationships/hyperlink" Target="https://login.consultant.ru/link/?req=doc&amp;base=RZR&amp;n=505544&amp;dst=100006" TargetMode = "External"/>
	<Relationship Id="rId29" Type="http://schemas.openxmlformats.org/officeDocument/2006/relationships/hyperlink" Target="https://login.consultant.ru/link/?req=doc&amp;base=RZR&amp;n=398015" TargetMode = "External"/>
	<Relationship Id="rId30" Type="http://schemas.openxmlformats.org/officeDocument/2006/relationships/hyperlink" Target="https://login.consultant.ru/link/?req=doc&amp;base=RZR&amp;n=398016" TargetMode = "External"/>
	<Relationship Id="rId31" Type="http://schemas.openxmlformats.org/officeDocument/2006/relationships/hyperlink" Target="https://login.consultant.ru/link/?req=doc&amp;base=RZR&amp;n=481541&amp;dst=100007" TargetMode = "External"/>
	<Relationship Id="rId32" Type="http://schemas.openxmlformats.org/officeDocument/2006/relationships/hyperlink" Target="https://login.consultant.ru/link/?req=doc&amp;base=RZR&amp;n=321443&amp;dst=100009" TargetMode = "External"/>
	<Relationship Id="rId33" Type="http://schemas.openxmlformats.org/officeDocument/2006/relationships/hyperlink" Target="https://login.consultant.ru/link/?req=doc&amp;base=RZR&amp;n=502117&amp;dst=100026" TargetMode = "External"/>
	<Relationship Id="rId34" Type="http://schemas.openxmlformats.org/officeDocument/2006/relationships/hyperlink" Target="https://login.consultant.ru/link/?req=doc&amp;base=RZR&amp;n=498571&amp;dst=100010" TargetMode = "External"/>
	<Relationship Id="rId35" Type="http://schemas.openxmlformats.org/officeDocument/2006/relationships/hyperlink" Target="https://login.consultant.ru/link/?req=doc&amp;base=LAW&amp;n=157978" TargetMode = "External"/>
	<Relationship Id="rId36" Type="http://schemas.openxmlformats.org/officeDocument/2006/relationships/hyperlink" Target="https://login.consultant.ru/link/?req=doc&amp;base=RZR&amp;n=312165" TargetMode = "External"/>
	<Relationship Id="rId37" Type="http://schemas.openxmlformats.org/officeDocument/2006/relationships/hyperlink" Target="https://login.consultant.ru/link/?req=doc&amp;base=RZR&amp;n=427706" TargetMode = "External"/>
	<Relationship Id="rId38" Type="http://schemas.openxmlformats.org/officeDocument/2006/relationships/hyperlink" Target="https://login.consultant.ru/link/?req=doc&amp;base=INT&amp;n=37511" TargetMode = "External"/>
	<Relationship Id="rId39" Type="http://schemas.openxmlformats.org/officeDocument/2006/relationships/hyperlink" Target="https://login.consultant.ru/link/?req=doc&amp;base=RZR&amp;n=483022" TargetMode = "External"/>
	<Relationship Id="rId40" Type="http://schemas.openxmlformats.org/officeDocument/2006/relationships/hyperlink" Target="https://login.consultant.ru/link/?req=doc&amp;base=INT&amp;n=15749" TargetMode = "External"/>
	<Relationship Id="rId41" Type="http://schemas.openxmlformats.org/officeDocument/2006/relationships/hyperlink" Target="https://login.consultant.ru/link/?req=doc&amp;base=RZR&amp;n=388992" TargetMode = "External"/>
	<Relationship Id="rId42" Type="http://schemas.openxmlformats.org/officeDocument/2006/relationships/hyperlink" Target="https://login.consultant.ru/link/?req=doc&amp;base=RZR&amp;n=358026" TargetMode = "External"/>
	<Relationship Id="rId43" Type="http://schemas.openxmlformats.org/officeDocument/2006/relationships/hyperlink" Target="https://login.consultant.ru/link/?req=doc&amp;base=RZR&amp;n=357927" TargetMode = "External"/>
	<Relationship Id="rId44" Type="http://schemas.openxmlformats.org/officeDocument/2006/relationships/hyperlink" Target="https://login.consultant.ru/link/?req=doc&amp;base=LAW&amp;n=319211" TargetMode = "External"/>
	<Relationship Id="rId45" Type="http://schemas.openxmlformats.org/officeDocument/2006/relationships/hyperlink" Target="https://login.consultant.ru/link/?req=doc&amp;base=RZR&amp;n=481298" TargetMode = "External"/>
	<Relationship Id="rId46" Type="http://schemas.openxmlformats.org/officeDocument/2006/relationships/hyperlink" Target="https://login.consultant.ru/link/?req=doc&amp;base=RZR&amp;n=493210" TargetMode = "External"/>
	<Relationship Id="rId47" Type="http://schemas.openxmlformats.org/officeDocument/2006/relationships/hyperlink" Target="https://login.consultant.ru/link/?req=doc&amp;base=RZR&amp;n=494633" TargetMode = "External"/>
	<Relationship Id="rId48" Type="http://schemas.openxmlformats.org/officeDocument/2006/relationships/hyperlink" Target="https://login.consultant.ru/link/?req=doc&amp;base=RZR&amp;n=504823&amp;dst=104721" TargetMode = "External"/>
	<Relationship Id="rId49" Type="http://schemas.openxmlformats.org/officeDocument/2006/relationships/hyperlink" Target="https://login.consultant.ru/link/?req=doc&amp;base=RZR&amp;n=504823&amp;dst=104721" TargetMode = "External"/>
	<Relationship Id="rId50" Type="http://schemas.openxmlformats.org/officeDocument/2006/relationships/hyperlink" Target="https://login.consultant.ru/link/?req=doc&amp;base=LAW&amp;n=384558" TargetMode = "External"/>
	<Relationship Id="rId51" Type="http://schemas.openxmlformats.org/officeDocument/2006/relationships/hyperlink" Target="https://login.consultant.ru/link/?req=doc&amp;base=RZR&amp;n=501852&amp;dst=100019" TargetMode = "External"/>
	<Relationship Id="rId52" Type="http://schemas.openxmlformats.org/officeDocument/2006/relationships/hyperlink" Target="https://login.consultant.ru/link/?req=doc&amp;base=RZR&amp;n=501852&amp;dst=100019" TargetMode = "External"/>
	<Relationship Id="rId53" Type="http://schemas.openxmlformats.org/officeDocument/2006/relationships/hyperlink" Target="https://login.consultant.ru/link/?req=doc&amp;base=RZR&amp;n=480805&amp;dst=100009" TargetMode = "External"/>
	<Relationship Id="rId54" Type="http://schemas.openxmlformats.org/officeDocument/2006/relationships/hyperlink" Target="https://login.consultant.ru/link/?req=doc&amp;base=RZR&amp;n=483361" TargetMode = "External"/>
	<Relationship Id="rId55" Type="http://schemas.openxmlformats.org/officeDocument/2006/relationships/hyperlink" Target="https://login.consultant.ru/link/?req=doc&amp;base=RZR&amp;n=493210" TargetMode = "External"/>
	<Relationship Id="rId56" Type="http://schemas.openxmlformats.org/officeDocument/2006/relationships/hyperlink" Target="https://login.consultant.ru/link/?req=doc&amp;base=LAW&amp;n=390381" TargetMode = "External"/>
	<Relationship Id="rId57" Type="http://schemas.openxmlformats.org/officeDocument/2006/relationships/hyperlink" Target="https://login.consultant.ru/link/?req=doc&amp;base=LAW&amp;n=394077" TargetMode = "External"/>
	<Relationship Id="rId58" Type="http://schemas.openxmlformats.org/officeDocument/2006/relationships/hyperlink" Target="https://login.consultant.ru/link/?req=doc&amp;base=RZR&amp;n=493950&amp;dst=100050" TargetMode = "External"/>
	<Relationship Id="rId59" Type="http://schemas.openxmlformats.org/officeDocument/2006/relationships/hyperlink" Target="https://login.consultant.ru/link/?req=doc&amp;base=RZR&amp;n=506309&amp;dst=100030" TargetMode = "External"/>
	<Relationship Id="rId60" Type="http://schemas.openxmlformats.org/officeDocument/2006/relationships/hyperlink" Target="https://login.consultant.ru/link/?req=doc&amp;base=RZR&amp;n=489969&amp;dst=100020" TargetMode = "External"/>
	<Relationship Id="rId61" Type="http://schemas.openxmlformats.org/officeDocument/2006/relationships/hyperlink" Target="https://login.consultant.ru/link/?req=doc&amp;base=RZR&amp;n=489969&amp;dst=100020" TargetMode = "External"/>
	<Relationship Id="rId62" Type="http://schemas.openxmlformats.org/officeDocument/2006/relationships/hyperlink" Target="https://login.consultant.ru/link/?req=doc&amp;base=INT&amp;n=15742" TargetMode = "External"/>
	<Relationship Id="rId63" Type="http://schemas.openxmlformats.org/officeDocument/2006/relationships/hyperlink" Target="https://login.consultant.ru/link/?req=doc&amp;base=RZR&amp;n=457792&amp;dst=100044" TargetMode = "External"/>
	<Relationship Id="rId64" Type="http://schemas.openxmlformats.org/officeDocument/2006/relationships/hyperlink" Target="https://login.consultant.ru/link/?req=doc&amp;base=RZR&amp;n=498907&amp;dst=100012" TargetMode = "External"/>
	<Relationship Id="rId65" Type="http://schemas.openxmlformats.org/officeDocument/2006/relationships/hyperlink" Target="https://login.consultant.ru/link/?req=doc&amp;base=RZR&amp;n=476792&amp;dst=100082" TargetMode = "External"/>
	<Relationship Id="rId66" Type="http://schemas.openxmlformats.org/officeDocument/2006/relationships/hyperlink" Target="https://login.consultant.ru/link/?req=doc&amp;base=RZR&amp;n=457792&amp;dst=100045" TargetMode = "External"/>
	<Relationship Id="rId67" Type="http://schemas.openxmlformats.org/officeDocument/2006/relationships/hyperlink" Target="https://login.consultant.ru/link/?req=doc&amp;base=RZR&amp;n=457792&amp;dst=100047" TargetMode = "External"/>
	<Relationship Id="rId68" Type="http://schemas.openxmlformats.org/officeDocument/2006/relationships/hyperlink" Target="https://login.consultant.ru/link/?req=doc&amp;base=RZR&amp;n=457792&amp;dst=100048" TargetMode = "External"/>
	<Relationship Id="rId69" Type="http://schemas.openxmlformats.org/officeDocument/2006/relationships/hyperlink" Target="https://login.consultant.ru/link/?req=doc&amp;base=RZR&amp;n=457792&amp;dst=100049" TargetMode = "External"/>
	<Relationship Id="rId70" Type="http://schemas.openxmlformats.org/officeDocument/2006/relationships/hyperlink" Target="https://login.consultant.ru/link/?req=doc&amp;base=RZR&amp;n=457792&amp;dst=100051" TargetMode = "External"/>
	<Relationship Id="rId71" Type="http://schemas.openxmlformats.org/officeDocument/2006/relationships/hyperlink" Target="https://login.consultant.ru/link/?req=doc&amp;base=RZR&amp;n=480805&amp;dst=100009" TargetMode = "External"/>
	<Relationship Id="rId72" Type="http://schemas.openxmlformats.org/officeDocument/2006/relationships/hyperlink" Target="https://login.consultant.ru/link/?req=doc&amp;base=RZR&amp;n=480805&amp;dst=100009" TargetMode = "External"/>
	<Relationship Id="rId73" Type="http://schemas.openxmlformats.org/officeDocument/2006/relationships/header" Target="header2.xml"/>
	<Relationship Id="rId74" Type="http://schemas.openxmlformats.org/officeDocument/2006/relationships/footer" Target="footer2.xml"/>
	<Relationship Id="rId75" Type="http://schemas.openxmlformats.org/officeDocument/2006/relationships/image" Target="media/image2.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31.10.2022 N 3268-р
(ред. от 21.10.2024)
&lt;Об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года&gt;</dc:title>
  <dcterms:created xsi:type="dcterms:W3CDTF">2025-06-02T09:39:33Z</dcterms:created>
</cp:coreProperties>
</file>